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ПЯТЬДЕСЯТ </w:t>
      </w:r>
      <w:r w:rsidR="00AB2780" w:rsidRPr="00994020">
        <w:rPr>
          <w:sz w:val="32"/>
          <w:szCs w:val="32"/>
        </w:rPr>
        <w:t>ПЯТОЕ</w:t>
      </w:r>
      <w:r w:rsidRPr="00994020">
        <w:rPr>
          <w:sz w:val="32"/>
          <w:szCs w:val="32"/>
        </w:rPr>
        <w:t xml:space="preserve"> ЗАСЕДАНИЕ</w:t>
      </w:r>
    </w:p>
    <w:p w:rsidR="008F48F5" w:rsidRPr="00994020" w:rsidRDefault="008F48F5" w:rsidP="008F48F5">
      <w:pPr>
        <w:jc w:val="center"/>
        <w:rPr>
          <w:sz w:val="32"/>
          <w:szCs w:val="32"/>
        </w:rPr>
      </w:pPr>
    </w:p>
    <w:p w:rsidR="008F48F5" w:rsidRPr="00994020" w:rsidRDefault="008F48F5" w:rsidP="008F48F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F48F5" w:rsidRPr="00994020" w:rsidRDefault="008F48F5" w:rsidP="008F48F5">
      <w:pPr>
        <w:jc w:val="center"/>
        <w:rPr>
          <w:szCs w:val="28"/>
        </w:rPr>
      </w:pPr>
    </w:p>
    <w:p w:rsidR="008F48F5" w:rsidRPr="00994020" w:rsidRDefault="008F48F5" w:rsidP="008F48F5">
      <w:pPr>
        <w:jc w:val="center"/>
        <w:rPr>
          <w:b/>
          <w:szCs w:val="28"/>
        </w:rPr>
      </w:pP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>«</w:t>
      </w:r>
      <w:r w:rsidR="00247648">
        <w:rPr>
          <w:sz w:val="26"/>
          <w:szCs w:val="26"/>
        </w:rPr>
        <w:t>20</w:t>
      </w:r>
      <w:r w:rsidR="00584700" w:rsidRPr="00994020">
        <w:rPr>
          <w:sz w:val="26"/>
          <w:szCs w:val="26"/>
        </w:rPr>
        <w:t xml:space="preserve">» </w:t>
      </w:r>
      <w:r w:rsidR="00AB2780" w:rsidRPr="00994020">
        <w:rPr>
          <w:sz w:val="26"/>
          <w:szCs w:val="26"/>
        </w:rPr>
        <w:t>дека</w:t>
      </w:r>
      <w:r w:rsidR="00584700" w:rsidRPr="00994020">
        <w:rPr>
          <w:sz w:val="26"/>
          <w:szCs w:val="26"/>
        </w:rPr>
        <w:t>бря 2018</w:t>
      </w:r>
      <w:r w:rsidRPr="00994020">
        <w:rPr>
          <w:sz w:val="26"/>
          <w:szCs w:val="26"/>
        </w:rPr>
        <w:t xml:space="preserve">г.   </w:t>
      </w:r>
      <w:r w:rsidR="00247648">
        <w:rPr>
          <w:sz w:val="26"/>
          <w:szCs w:val="26"/>
        </w:rPr>
        <w:t xml:space="preserve">                             № 277</w:t>
      </w:r>
      <w:r w:rsidRPr="00994020">
        <w:rPr>
          <w:sz w:val="26"/>
          <w:szCs w:val="26"/>
        </w:rPr>
        <w:t xml:space="preserve">                                             пос. Пестяки</w:t>
      </w: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</w:p>
    <w:p w:rsidR="008F48F5" w:rsidRPr="00994020" w:rsidRDefault="008F48F5" w:rsidP="008F48F5">
      <w:pPr>
        <w:jc w:val="both"/>
        <w:rPr>
          <w:szCs w:val="28"/>
        </w:rPr>
      </w:pPr>
    </w:p>
    <w:p w:rsidR="008F48F5" w:rsidRDefault="00247648" w:rsidP="00247648">
      <w:pPr>
        <w:jc w:val="center"/>
        <w:rPr>
          <w:szCs w:val="28"/>
        </w:rPr>
      </w:pPr>
      <w:r>
        <w:rPr>
          <w:szCs w:val="28"/>
        </w:rPr>
        <w:t>(в редакции №284 от 31.01.2019г</w:t>
      </w:r>
      <w:r w:rsidR="00230CD2">
        <w:rPr>
          <w:szCs w:val="28"/>
        </w:rPr>
        <w:t xml:space="preserve">. </w:t>
      </w:r>
      <w:r w:rsidR="00606D55">
        <w:rPr>
          <w:szCs w:val="28"/>
        </w:rPr>
        <w:t xml:space="preserve">№ 302 </w:t>
      </w:r>
      <w:r w:rsidR="00230CD2">
        <w:rPr>
          <w:szCs w:val="28"/>
        </w:rPr>
        <w:t>от 28.02.2019г.</w:t>
      </w:r>
      <w:r w:rsidR="0087365F">
        <w:rPr>
          <w:szCs w:val="28"/>
        </w:rPr>
        <w:t>,</w:t>
      </w:r>
      <w:r w:rsidR="0004380C">
        <w:rPr>
          <w:szCs w:val="28"/>
        </w:rPr>
        <w:t xml:space="preserve"> №308 от 21.03.2019г.</w:t>
      </w:r>
      <w:r w:rsidR="008B2499">
        <w:rPr>
          <w:szCs w:val="28"/>
        </w:rPr>
        <w:t>, №318 от 25.04.2019</w:t>
      </w:r>
      <w:r w:rsidR="000233B0">
        <w:rPr>
          <w:szCs w:val="28"/>
        </w:rPr>
        <w:t>г., №324 от 27.05.2019г.</w:t>
      </w:r>
      <w:r>
        <w:rPr>
          <w:szCs w:val="28"/>
        </w:rPr>
        <w:t>)</w:t>
      </w:r>
    </w:p>
    <w:p w:rsidR="00247648" w:rsidRPr="00994020" w:rsidRDefault="00247648" w:rsidP="00247648">
      <w:pPr>
        <w:jc w:val="center"/>
        <w:rPr>
          <w:szCs w:val="28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8F48F5" w:rsidRPr="00994020" w:rsidRDefault="008F48F5" w:rsidP="008F48F5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8F48F5" w:rsidRPr="00994020" w:rsidRDefault="008F48F5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8F48F5" w:rsidRPr="00994020" w:rsidRDefault="008F48F5" w:rsidP="008F48F5">
      <w:pPr>
        <w:jc w:val="center"/>
        <w:rPr>
          <w:b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</w:t>
      </w:r>
      <w:r w:rsidR="00AB2780" w:rsidRPr="00994020">
        <w:rPr>
          <w:bCs/>
          <w:sz w:val="26"/>
          <w:szCs w:val="26"/>
        </w:rPr>
        <w:t>Пестяковский городской Совет</w:t>
      </w:r>
      <w:r w:rsidR="00AB2780" w:rsidRPr="00994020">
        <w:rPr>
          <w:b/>
          <w:bCs/>
          <w:sz w:val="26"/>
          <w:szCs w:val="26"/>
        </w:rPr>
        <w:t xml:space="preserve"> решил: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994020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994020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="00584700" w:rsidRPr="00994020">
        <w:rPr>
          <w:bCs/>
          <w:color w:val="000000"/>
          <w:sz w:val="26"/>
          <w:szCs w:val="26"/>
        </w:rPr>
        <w:t xml:space="preserve"> на 2019</w:t>
      </w:r>
      <w:r w:rsidRPr="00994020">
        <w:rPr>
          <w:bCs/>
          <w:color w:val="000000"/>
          <w:sz w:val="26"/>
          <w:szCs w:val="26"/>
        </w:rPr>
        <w:t xml:space="preserve"> год:</w:t>
      </w:r>
    </w:p>
    <w:p w:rsidR="008F48F5" w:rsidRPr="00994020" w:rsidRDefault="008F48F5" w:rsidP="008F48F5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 xml:space="preserve">- общий объем доходов бюджета в сумме   </w:t>
      </w:r>
      <w:r w:rsidR="000233B0">
        <w:rPr>
          <w:bCs/>
          <w:sz w:val="26"/>
          <w:szCs w:val="26"/>
        </w:rPr>
        <w:t>27 295 332,48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</w:t>
      </w:r>
      <w:r w:rsidR="000233B0">
        <w:rPr>
          <w:bCs/>
          <w:sz w:val="26"/>
          <w:szCs w:val="26"/>
        </w:rPr>
        <w:t>28 723 758,27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дефицит бюджета в сумме </w:t>
      </w:r>
      <w:r w:rsidR="00DF022C">
        <w:rPr>
          <w:bCs/>
          <w:sz w:val="26"/>
          <w:szCs w:val="26"/>
        </w:rPr>
        <w:t>1 428 425,79</w:t>
      </w:r>
      <w:r w:rsidR="00F73137">
        <w:rPr>
          <w:bCs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>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</w:t>
      </w:r>
      <w:r w:rsidR="000F18AD" w:rsidRPr="00994020">
        <w:rPr>
          <w:color w:val="000000"/>
          <w:spacing w:val="-1"/>
          <w:sz w:val="26"/>
          <w:szCs w:val="26"/>
        </w:rPr>
        <w:t>о втором</w:t>
      </w:r>
      <w:r w:rsidRPr="00994020">
        <w:rPr>
          <w:color w:val="000000"/>
          <w:spacing w:val="-1"/>
          <w:sz w:val="26"/>
          <w:szCs w:val="26"/>
        </w:rPr>
        <w:t xml:space="preserve">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="000F18AD" w:rsidRPr="00994020">
        <w:rPr>
          <w:color w:val="000000"/>
          <w:spacing w:val="-1"/>
          <w:sz w:val="26"/>
          <w:szCs w:val="26"/>
        </w:rPr>
        <w:t>приложение 1)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</w:t>
      </w:r>
      <w:r w:rsidR="000F18AD" w:rsidRPr="00994020">
        <w:rPr>
          <w:color w:val="000000"/>
          <w:sz w:val="26"/>
          <w:szCs w:val="26"/>
        </w:rPr>
        <w:t>020 и 2021 годов (приложение 2)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lastRenderedPageBreak/>
        <w:t>4.</w:t>
      </w:r>
      <w:r w:rsidR="000F18AD" w:rsidRPr="00994020">
        <w:rPr>
          <w:bCs/>
          <w:color w:val="000000"/>
          <w:sz w:val="26"/>
          <w:szCs w:val="26"/>
        </w:rPr>
        <w:t xml:space="preserve"> Утвердить во втором</w:t>
      </w:r>
      <w:r w:rsidRPr="00994020">
        <w:rPr>
          <w:bCs/>
          <w:color w:val="000000"/>
          <w:sz w:val="26"/>
          <w:szCs w:val="26"/>
        </w:rPr>
        <w:t xml:space="preserve">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</w:t>
      </w:r>
      <w:r w:rsidR="000233B0">
        <w:rPr>
          <w:bCs/>
          <w:color w:val="000000"/>
          <w:sz w:val="26"/>
          <w:szCs w:val="26"/>
        </w:rPr>
        <w:t>13 734 849,00</w:t>
      </w:r>
      <w:r w:rsidRPr="00994020">
        <w:rPr>
          <w:bCs/>
          <w:color w:val="000000"/>
          <w:sz w:val="26"/>
          <w:szCs w:val="26"/>
        </w:rPr>
        <w:t xml:space="preserve">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Pr="00994020">
        <w:rPr>
          <w:bCs/>
          <w:color w:val="000000"/>
          <w:sz w:val="26"/>
          <w:szCs w:val="26"/>
        </w:rPr>
        <w:t>00,00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="00B7389B">
        <w:rPr>
          <w:bCs/>
          <w:color w:val="000000"/>
          <w:sz w:val="26"/>
          <w:szCs w:val="26"/>
        </w:rPr>
        <w:t>45</w:t>
      </w:r>
      <w:r w:rsidRPr="00994020">
        <w:rPr>
          <w:bCs/>
          <w:color w:val="000000"/>
          <w:sz w:val="26"/>
          <w:szCs w:val="26"/>
        </w:rPr>
        <w:t>,00 руб.</w:t>
      </w:r>
    </w:p>
    <w:p w:rsidR="008F48F5" w:rsidRPr="00994020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="00DC1A33" w:rsidRPr="00994020">
        <w:rPr>
          <w:bCs/>
          <w:color w:val="000000"/>
          <w:sz w:val="26"/>
          <w:szCs w:val="26"/>
        </w:rPr>
        <w:t xml:space="preserve"> Утвердить во втором </w:t>
      </w:r>
      <w:r w:rsidRPr="00994020">
        <w:rPr>
          <w:bCs/>
          <w:color w:val="000000"/>
          <w:sz w:val="26"/>
          <w:szCs w:val="26"/>
        </w:rPr>
        <w:t xml:space="preserve">чтении </w:t>
      </w:r>
      <w:hyperlink r:id="rId8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="00DC1A33" w:rsidRPr="00994020">
        <w:rPr>
          <w:bCs/>
          <w:color w:val="000000"/>
          <w:sz w:val="26"/>
          <w:szCs w:val="26"/>
        </w:rPr>
        <w:t xml:space="preserve">Утвердить во втором </w:t>
      </w:r>
      <w:r w:rsidRPr="00994020">
        <w:rPr>
          <w:bCs/>
          <w:color w:val="000000"/>
          <w:sz w:val="26"/>
          <w:szCs w:val="26"/>
        </w:rPr>
        <w:t>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="00DC1A33" w:rsidRPr="00994020">
        <w:rPr>
          <w:bCs/>
          <w:color w:val="000000"/>
          <w:sz w:val="26"/>
          <w:szCs w:val="26"/>
        </w:rPr>
        <w:t xml:space="preserve">во втором </w:t>
      </w:r>
      <w:r w:rsidRPr="00994020">
        <w:rPr>
          <w:bCs/>
          <w:color w:val="000000"/>
          <w:sz w:val="26"/>
          <w:szCs w:val="26"/>
        </w:rPr>
        <w:t>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DC1A33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DC1A33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="00DC1A33" w:rsidRPr="00994020">
        <w:rPr>
          <w:color w:val="000000"/>
          <w:sz w:val="26"/>
          <w:szCs w:val="26"/>
        </w:rPr>
        <w:t xml:space="preserve"> Утвердить во втором </w:t>
      </w:r>
      <w:r w:rsidRPr="00994020">
        <w:rPr>
          <w:color w:val="000000"/>
          <w:sz w:val="26"/>
          <w:szCs w:val="26"/>
        </w:rPr>
        <w:t xml:space="preserve">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8F48F5" w:rsidRPr="00994020" w:rsidRDefault="008F48F5" w:rsidP="008F48F5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0F18AD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0F18AD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</w:t>
      </w:r>
      <w:r w:rsidR="000F18AD" w:rsidRPr="00994020">
        <w:rPr>
          <w:sz w:val="26"/>
          <w:szCs w:val="26"/>
        </w:rPr>
        <w:t> 063,45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</w:t>
      </w:r>
      <w:r w:rsidR="000F18AD" w:rsidRPr="00994020">
        <w:rPr>
          <w:sz w:val="26"/>
          <w:szCs w:val="26"/>
        </w:rPr>
        <w:t>933 060,58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в) на 2021 год в сумме 92 000,00 руб.                                                                                                                                   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</w:t>
      </w:r>
      <w:r w:rsidR="000F18AD" w:rsidRPr="00994020">
        <w:rPr>
          <w:sz w:val="26"/>
          <w:szCs w:val="26"/>
        </w:rPr>
        <w:t>втором</w:t>
      </w:r>
      <w:r w:rsidRPr="00994020">
        <w:rPr>
          <w:sz w:val="26"/>
          <w:szCs w:val="26"/>
        </w:rPr>
        <w:t xml:space="preserve"> чтении общий объем бюджетных ассигнований муниципального дорожного фонда: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lastRenderedPageBreak/>
        <w:t xml:space="preserve">         а) на 2019 год в сумме </w:t>
      </w:r>
      <w:r w:rsidR="00A622CC">
        <w:rPr>
          <w:sz w:val="26"/>
          <w:szCs w:val="26"/>
        </w:rPr>
        <w:t>4</w:t>
      </w:r>
      <w:r w:rsidR="00BA4A73">
        <w:rPr>
          <w:sz w:val="26"/>
          <w:szCs w:val="26"/>
        </w:rPr>
        <w:t> 849 583,27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</w:t>
      </w:r>
      <w:r w:rsidR="000F18AD" w:rsidRPr="00994020">
        <w:rPr>
          <w:sz w:val="26"/>
          <w:szCs w:val="26"/>
        </w:rPr>
        <w:t>776 637,81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</w:t>
      </w:r>
      <w:r w:rsidR="000F18AD" w:rsidRPr="00994020">
        <w:rPr>
          <w:sz w:val="26"/>
          <w:szCs w:val="26"/>
        </w:rPr>
        <w:t>874 211,63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8F48F5" w:rsidRPr="00994020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</w:t>
      </w:r>
      <w:r w:rsidR="00DC1A33" w:rsidRPr="00994020">
        <w:rPr>
          <w:color w:val="000000"/>
          <w:sz w:val="26"/>
          <w:szCs w:val="26"/>
        </w:rPr>
        <w:t>во втором</w:t>
      </w:r>
      <w:r w:rsidRPr="00994020">
        <w:rPr>
          <w:color w:val="000000"/>
          <w:sz w:val="26"/>
          <w:szCs w:val="26"/>
        </w:rPr>
        <w:t xml:space="preserve">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</w:t>
      </w:r>
      <w:r w:rsidR="003D5C13" w:rsidRPr="00994020">
        <w:rPr>
          <w:color w:val="000000"/>
          <w:sz w:val="26"/>
          <w:szCs w:val="26"/>
        </w:rPr>
        <w:t>20</w:t>
      </w:r>
      <w:r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</w:t>
      </w:r>
      <w:r w:rsidR="008F48F5"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</w:t>
      </w:r>
      <w:r w:rsidR="003D5C13" w:rsidRPr="00994020">
        <w:rPr>
          <w:color w:val="000000"/>
          <w:sz w:val="26"/>
          <w:szCs w:val="26"/>
        </w:rPr>
        <w:t>января 2022</w:t>
      </w:r>
      <w:r w:rsidRPr="00994020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</w:t>
      </w:r>
      <w:r w:rsidR="00DC1A33" w:rsidRPr="00994020">
        <w:rPr>
          <w:sz w:val="26"/>
          <w:szCs w:val="26"/>
        </w:rPr>
        <w:t xml:space="preserve">во втором </w:t>
      </w:r>
      <w:r w:rsidRPr="00994020">
        <w:rPr>
          <w:sz w:val="26"/>
          <w:szCs w:val="26"/>
        </w:rPr>
        <w:t>чтении объем расходов на обслуживание муниципального долга: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="003D5C13" w:rsidRPr="00994020">
        <w:rPr>
          <w:color w:val="000000"/>
          <w:sz w:val="26"/>
          <w:szCs w:val="26"/>
        </w:rPr>
        <w:t xml:space="preserve">           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 xml:space="preserve">Утвердить в </w:t>
      </w:r>
      <w:r w:rsidR="00DC1A33" w:rsidRPr="00994020">
        <w:rPr>
          <w:rFonts w:ascii="Times New Roman" w:hAnsi="Times New Roman" w:cs="Times New Roman"/>
          <w:sz w:val="26"/>
          <w:szCs w:val="26"/>
        </w:rPr>
        <w:t>втором</w:t>
      </w:r>
      <w:r w:rsidRPr="00994020">
        <w:rPr>
          <w:rFonts w:ascii="Times New Roman" w:hAnsi="Times New Roman" w:cs="Times New Roman"/>
          <w:sz w:val="26"/>
          <w:szCs w:val="26"/>
        </w:rPr>
        <w:t xml:space="preserve"> чтении Программу муниципальных заимствований Пестяковского городского поселения</w:t>
      </w:r>
      <w:r w:rsidR="00BD50E1"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="003D5C13" w:rsidRPr="00994020">
        <w:rPr>
          <w:color w:val="000000"/>
          <w:sz w:val="26"/>
          <w:szCs w:val="26"/>
        </w:rPr>
        <w:t>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</w:t>
      </w:r>
      <w:r w:rsidR="008F48F5"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="00DC1A33" w:rsidRPr="00994020">
        <w:rPr>
          <w:sz w:val="26"/>
          <w:szCs w:val="26"/>
        </w:rPr>
        <w:t xml:space="preserve"> Утвердить во втором </w:t>
      </w:r>
      <w:r w:rsidRPr="00994020">
        <w:rPr>
          <w:sz w:val="26"/>
          <w:szCs w:val="26"/>
        </w:rPr>
        <w:t xml:space="preserve">чтении </w:t>
      </w:r>
      <w:hyperlink r:id="rId9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</w:t>
      </w:r>
      <w:r w:rsidR="00BD50E1" w:rsidRPr="00994020">
        <w:rPr>
          <w:sz w:val="26"/>
          <w:szCs w:val="26"/>
        </w:rPr>
        <w:t>ого городского поселения на 2019 год и на плановый период 2020 и 2021</w:t>
      </w:r>
      <w:r w:rsidRPr="00994020">
        <w:rPr>
          <w:sz w:val="26"/>
          <w:szCs w:val="26"/>
        </w:rPr>
        <w:t xml:space="preserve">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="00BD50E1" w:rsidRPr="00994020">
        <w:rPr>
          <w:color w:val="000000"/>
          <w:sz w:val="26"/>
          <w:szCs w:val="26"/>
        </w:rPr>
        <w:t xml:space="preserve"> Установить, что в 2019</w:t>
      </w:r>
      <w:r w:rsidRPr="00994020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17. </w:t>
      </w:r>
      <w:r w:rsidRPr="00994020">
        <w:rPr>
          <w:color w:val="000000"/>
          <w:sz w:val="26"/>
          <w:szCs w:val="26"/>
        </w:rPr>
        <w:t>Настоящее Реше</w:t>
      </w:r>
      <w:r w:rsidR="00BD50E1" w:rsidRPr="00994020">
        <w:rPr>
          <w:color w:val="000000"/>
          <w:sz w:val="26"/>
          <w:szCs w:val="26"/>
        </w:rPr>
        <w:t>ние вступает в силу с 01.01.20</w:t>
      </w:r>
      <w:r w:rsidR="003D5C13" w:rsidRPr="00994020">
        <w:rPr>
          <w:color w:val="000000"/>
          <w:sz w:val="26"/>
          <w:szCs w:val="26"/>
        </w:rPr>
        <w:t>19</w:t>
      </w:r>
      <w:r w:rsidRPr="00994020">
        <w:rPr>
          <w:color w:val="000000"/>
          <w:sz w:val="26"/>
          <w:szCs w:val="26"/>
        </w:rPr>
        <w:t xml:space="preserve"> года.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994020">
        <w:rPr>
          <w:sz w:val="26"/>
          <w:szCs w:val="26"/>
        </w:rPr>
        <w:t xml:space="preserve">                               </w:t>
      </w:r>
      <w:r w:rsidRPr="00994020">
        <w:rPr>
          <w:sz w:val="26"/>
          <w:szCs w:val="26"/>
        </w:rPr>
        <w:t>С.В. Баров</w:t>
      </w: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bookmarkStart w:id="0" w:name="_GoBack"/>
      <w:bookmarkEnd w:id="0"/>
    </w:p>
    <w:sectPr w:rsidR="004517F0" w:rsidSect="00423B80">
      <w:pgSz w:w="11906" w:h="16838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C8" w:rsidRDefault="004018C8" w:rsidP="00AB2780">
      <w:r>
        <w:separator/>
      </w:r>
    </w:p>
  </w:endnote>
  <w:endnote w:type="continuationSeparator" w:id="0">
    <w:p w:rsidR="004018C8" w:rsidRDefault="004018C8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C8" w:rsidRDefault="004018C8" w:rsidP="00AB2780">
      <w:r>
        <w:separator/>
      </w:r>
    </w:p>
  </w:footnote>
  <w:footnote w:type="continuationSeparator" w:id="0">
    <w:p w:rsidR="004018C8" w:rsidRDefault="004018C8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33B0"/>
    <w:rsid w:val="00035CCE"/>
    <w:rsid w:val="0004380C"/>
    <w:rsid w:val="000B6041"/>
    <w:rsid w:val="000F18AD"/>
    <w:rsid w:val="0011156A"/>
    <w:rsid w:val="0012155C"/>
    <w:rsid w:val="00176D8D"/>
    <w:rsid w:val="00230CD2"/>
    <w:rsid w:val="00247648"/>
    <w:rsid w:val="002916A5"/>
    <w:rsid w:val="002D7F84"/>
    <w:rsid w:val="003553DD"/>
    <w:rsid w:val="003C63F5"/>
    <w:rsid w:val="003D5C13"/>
    <w:rsid w:val="004018C8"/>
    <w:rsid w:val="00423B80"/>
    <w:rsid w:val="00427F92"/>
    <w:rsid w:val="0043700D"/>
    <w:rsid w:val="004413D9"/>
    <w:rsid w:val="004425C9"/>
    <w:rsid w:val="004477D2"/>
    <w:rsid w:val="004517F0"/>
    <w:rsid w:val="005225A5"/>
    <w:rsid w:val="00560494"/>
    <w:rsid w:val="00584700"/>
    <w:rsid w:val="005D2BA9"/>
    <w:rsid w:val="00606D55"/>
    <w:rsid w:val="0063626E"/>
    <w:rsid w:val="007215AF"/>
    <w:rsid w:val="008011F4"/>
    <w:rsid w:val="00872855"/>
    <w:rsid w:val="0087365F"/>
    <w:rsid w:val="008B2499"/>
    <w:rsid w:val="008E6046"/>
    <w:rsid w:val="008F48F5"/>
    <w:rsid w:val="00942BD3"/>
    <w:rsid w:val="00994020"/>
    <w:rsid w:val="009B78CB"/>
    <w:rsid w:val="00A33E97"/>
    <w:rsid w:val="00A622CC"/>
    <w:rsid w:val="00AB2780"/>
    <w:rsid w:val="00AC3BE3"/>
    <w:rsid w:val="00B243CE"/>
    <w:rsid w:val="00B252F4"/>
    <w:rsid w:val="00B7389B"/>
    <w:rsid w:val="00B925E6"/>
    <w:rsid w:val="00BA4A73"/>
    <w:rsid w:val="00BD50E1"/>
    <w:rsid w:val="00CE36E1"/>
    <w:rsid w:val="00DA14B5"/>
    <w:rsid w:val="00DC1A33"/>
    <w:rsid w:val="00DF022C"/>
    <w:rsid w:val="00DF2128"/>
    <w:rsid w:val="00DF4B06"/>
    <w:rsid w:val="00E733B7"/>
    <w:rsid w:val="00E83473"/>
    <w:rsid w:val="00EA226B"/>
    <w:rsid w:val="00ED2C7F"/>
    <w:rsid w:val="00ED3EB2"/>
    <w:rsid w:val="00EF024D"/>
    <w:rsid w:val="00F103C6"/>
    <w:rsid w:val="00F22B37"/>
    <w:rsid w:val="00F51AB1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2C83-CC45-4811-84E2-7E41A529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41</cp:revision>
  <cp:lastPrinted>2018-12-21T11:04:00Z</cp:lastPrinted>
  <dcterms:created xsi:type="dcterms:W3CDTF">2018-11-15T12:48:00Z</dcterms:created>
  <dcterms:modified xsi:type="dcterms:W3CDTF">2019-05-29T06:51:00Z</dcterms:modified>
</cp:coreProperties>
</file>