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6F" w:rsidRPr="00BF205D" w:rsidRDefault="007D15B3" w:rsidP="000C0A6F">
      <w:pPr>
        <w:keepNext/>
        <w:tabs>
          <w:tab w:val="left" w:pos="564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0C0A6F" w:rsidRPr="00BF205D">
        <w:rPr>
          <w:rFonts w:ascii="Times New Roman" w:hAnsi="Times New Roman"/>
          <w:b/>
          <w:bCs/>
          <w:sz w:val="28"/>
          <w:szCs w:val="28"/>
        </w:rPr>
        <w:t>униципальная программа</w:t>
      </w:r>
    </w:p>
    <w:p w:rsidR="007D15B3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«Организация деятельности органов местного самоуправления  </w:t>
      </w:r>
    </w:p>
    <w:p w:rsidR="000C0A6F" w:rsidRPr="00BF205D" w:rsidRDefault="000C0A6F" w:rsidP="000C0A6F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>Пестяковского городского поселения</w:t>
      </w:r>
    </w:p>
    <w:p w:rsidR="00593B23" w:rsidRDefault="000C0A6F" w:rsidP="00593B23">
      <w:pPr>
        <w:tabs>
          <w:tab w:val="left" w:pos="3630"/>
        </w:tabs>
        <w:ind w:right="-1"/>
        <w:rPr>
          <w:rFonts w:ascii="Times New Roman" w:hAnsi="Times New Roman"/>
          <w:sz w:val="28"/>
          <w:szCs w:val="28"/>
        </w:rPr>
      </w:pPr>
      <w:r w:rsidRPr="00BF205D">
        <w:rPr>
          <w:rFonts w:ascii="Times New Roman" w:hAnsi="Times New Roman"/>
          <w:b/>
          <w:sz w:val="28"/>
          <w:szCs w:val="28"/>
        </w:rPr>
        <w:t xml:space="preserve"> на решение вопросов местного значения</w:t>
      </w:r>
      <w:r w:rsidRPr="00BF205D">
        <w:rPr>
          <w:rFonts w:ascii="Times New Roman" w:hAnsi="Times New Roman"/>
          <w:sz w:val="28"/>
          <w:szCs w:val="28"/>
        </w:rPr>
        <w:t>»</w:t>
      </w:r>
    </w:p>
    <w:p w:rsidR="000C0A6F" w:rsidRPr="00BF205D" w:rsidRDefault="000C0A6F" w:rsidP="00593B23">
      <w:pPr>
        <w:tabs>
          <w:tab w:val="left" w:pos="3630"/>
        </w:tabs>
        <w:ind w:right="-1"/>
        <w:rPr>
          <w:rFonts w:ascii="Times New Roman" w:hAnsi="Times New Roman"/>
          <w:b/>
          <w:sz w:val="28"/>
          <w:szCs w:val="24"/>
        </w:rPr>
      </w:pPr>
      <w:r w:rsidRPr="00BF205D">
        <w:rPr>
          <w:rFonts w:ascii="Times New Roman" w:hAnsi="Times New Roman"/>
          <w:b/>
          <w:sz w:val="28"/>
          <w:szCs w:val="24"/>
        </w:rPr>
        <w:t xml:space="preserve">Паспорт муниципальной программы  </w:t>
      </w:r>
    </w:p>
    <w:p w:rsidR="000C0A6F" w:rsidRPr="005A5F5B" w:rsidRDefault="000C0A6F" w:rsidP="000C0A6F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0C0A6F" w:rsidRPr="005A5F5B" w:rsidTr="00165B41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DF713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0A6F" w:rsidRPr="005A5F5B" w:rsidTr="00165B41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5A5F5B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5A5F5B">
              <w:t xml:space="preserve"> Пестяковского городского поселения»</w:t>
            </w:r>
          </w:p>
          <w:p w:rsidR="000C0A6F" w:rsidRPr="005A5F5B" w:rsidRDefault="000C0A6F" w:rsidP="00165B41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>
              <w:t>«</w:t>
            </w:r>
            <w:r w:rsidRPr="005A5F5B">
              <w:t>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0C0A6F" w:rsidRPr="005A5F5B" w:rsidRDefault="000C0A6F" w:rsidP="00165B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0C0A6F" w:rsidRPr="005A5F5B" w:rsidTr="00165B41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0C0A6F" w:rsidRPr="005A5F5B" w:rsidTr="00165B41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5A5F5B" w:rsidRDefault="000C0A6F" w:rsidP="00165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982953,36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821 152,00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18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DD7558">
              <w:rPr>
                <w:rFonts w:ascii="Times New Roman" w:hAnsi="Times New Roman"/>
                <w:sz w:val="24"/>
                <w:szCs w:val="24"/>
              </w:rPr>
              <w:t>0</w:t>
            </w:r>
            <w:r w:rsidR="00037185">
              <w:rPr>
                <w:rFonts w:ascii="Times New Roman" w:hAnsi="Times New Roman"/>
                <w:sz w:val="24"/>
                <w:szCs w:val="24"/>
              </w:rPr>
              <w:t>37 834,97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</w:t>
            </w:r>
            <w:r w:rsidR="006D0C95">
              <w:rPr>
                <w:rFonts w:ascii="Times New Roman" w:hAnsi="Times New Roman"/>
                <w:sz w:val="24"/>
                <w:szCs w:val="24"/>
              </w:rPr>
              <w:t xml:space="preserve"> .-  </w:t>
            </w:r>
            <w:r w:rsidR="00EC1F50">
              <w:rPr>
                <w:rFonts w:ascii="Times New Roman" w:hAnsi="Times New Roman"/>
                <w:sz w:val="24"/>
                <w:szCs w:val="24"/>
              </w:rPr>
              <w:t>1 052 467,50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5D7C" w:rsidRPr="00DF7130" w:rsidRDefault="00C15D7C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DF7130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lastRenderedPageBreak/>
              <w:t>2017г.-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800,00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 -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–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2016г.-   </w:t>
            </w:r>
            <w:r w:rsidRPr="00DF7130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979 117,76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2019г.-   820 382,00 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2020г.-    </w:t>
            </w:r>
            <w:r w:rsidR="00C9398C" w:rsidRPr="00DF7130">
              <w:rPr>
                <w:rFonts w:ascii="Times New Roman" w:hAnsi="Times New Roman"/>
                <w:sz w:val="24"/>
                <w:szCs w:val="24"/>
              </w:rPr>
              <w:t>981 595,58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 1 037 834,97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C0A6F" w:rsidRPr="00DF7130" w:rsidRDefault="00EC1F50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1 052 467,50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2023г.-    978 116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C2B" w:rsidRPr="00DF7130" w:rsidRDefault="00151C2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–  978 116,26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0C0A6F" w:rsidRPr="00DF7130" w:rsidRDefault="000C0A6F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2022г.-    0,00 рублей</w:t>
            </w:r>
            <w:r w:rsidR="007C6E9B" w:rsidRPr="00DF7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7C6E9B" w:rsidRPr="00DF7130" w:rsidRDefault="007C6E9B" w:rsidP="007D15B3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b/>
          <w:bCs/>
          <w:sz w:val="24"/>
          <w:szCs w:val="24"/>
        </w:rPr>
      </w:pPr>
    </w:p>
    <w:p w:rsidR="000C0A6F" w:rsidRPr="001333B5" w:rsidRDefault="000C0A6F" w:rsidP="000C0A6F">
      <w:pPr>
        <w:pStyle w:val="a7"/>
        <w:ind w:left="360"/>
        <w:rPr>
          <w:b/>
          <w:bCs/>
          <w:sz w:val="28"/>
        </w:rPr>
      </w:pPr>
      <w:r w:rsidRPr="001333B5">
        <w:rPr>
          <w:b/>
          <w:sz w:val="28"/>
        </w:rPr>
        <w:t>2. Анализ текущей ситуации в сфере реализации Программы</w:t>
      </w:r>
    </w:p>
    <w:p w:rsidR="000C0A6F" w:rsidRPr="001333B5" w:rsidRDefault="000C0A6F" w:rsidP="000C0A6F">
      <w:pPr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1333B5">
        <w:rPr>
          <w:rFonts w:ascii="Times New Roman" w:hAnsi="Times New Roman"/>
          <w:sz w:val="28"/>
          <w:szCs w:val="24"/>
          <w:lang w:val="ru-MD"/>
        </w:rPr>
        <w:t>увеличение</w:t>
      </w:r>
      <w:r w:rsidRPr="001333B5">
        <w:rPr>
          <w:rFonts w:ascii="Times New Roman" w:hAnsi="Times New Roman"/>
          <w:sz w:val="28"/>
          <w:szCs w:val="24"/>
        </w:rPr>
        <w:t xml:space="preserve"> доходной части  бюджета поселения,  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1333B5">
        <w:rPr>
          <w:rFonts w:ascii="Times New Roman" w:hAnsi="Times New Roman"/>
          <w:bCs/>
          <w:iCs/>
          <w:sz w:val="28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За реализацию этих задач в первую очередь отвечают органы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1333B5">
        <w:rPr>
          <w:rFonts w:ascii="Times New Roman" w:hAnsi="Times New Roman"/>
          <w:sz w:val="28"/>
          <w:szCs w:val="24"/>
        </w:rPr>
        <w:t>В настоящее время о</w:t>
      </w:r>
      <w:r w:rsidRPr="001333B5">
        <w:rPr>
          <w:rFonts w:ascii="Times New Roman" w:hAnsi="Times New Roman"/>
          <w:sz w:val="28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0C0A6F" w:rsidRPr="001333B5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0C0A6F" w:rsidRDefault="000C0A6F" w:rsidP="000C0A6F">
      <w:pPr>
        <w:adjustRightInd w:val="0"/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0C0A6F" w:rsidRPr="009A0E85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9A0E85">
        <w:rPr>
          <w:rFonts w:ascii="Times New Roman" w:hAnsi="Times New Roman"/>
          <w:sz w:val="28"/>
          <w:szCs w:val="28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Основными направлениями иных мероприятий в области муниципального управления являются расходы на </w:t>
      </w:r>
      <w:r>
        <w:rPr>
          <w:rFonts w:ascii="Times New Roman" w:hAnsi="Times New Roman"/>
          <w:sz w:val="28"/>
          <w:szCs w:val="28"/>
          <w:lang w:val="x-none"/>
        </w:rPr>
        <w:t>опубликовани</w:t>
      </w:r>
      <w:r>
        <w:rPr>
          <w:rFonts w:ascii="Times New Roman" w:hAnsi="Times New Roman"/>
          <w:sz w:val="28"/>
          <w:szCs w:val="28"/>
        </w:rPr>
        <w:t>е</w:t>
      </w:r>
      <w:r w:rsidRPr="009A0E85">
        <w:rPr>
          <w:rFonts w:ascii="Times New Roman" w:hAnsi="Times New Roman"/>
          <w:sz w:val="28"/>
          <w:szCs w:val="28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9A0E85">
        <w:rPr>
          <w:rFonts w:ascii="Times New Roman" w:hAnsi="Times New Roman"/>
          <w:sz w:val="28"/>
          <w:szCs w:val="28"/>
        </w:rPr>
        <w:t>Пестяковского</w:t>
      </w:r>
      <w:r>
        <w:rPr>
          <w:rFonts w:ascii="Times New Roman" w:hAnsi="Times New Roman"/>
          <w:sz w:val="28"/>
          <w:szCs w:val="28"/>
          <w:lang w:val="x-none"/>
        </w:rPr>
        <w:t xml:space="preserve"> городского поселени</w:t>
      </w:r>
      <w:r>
        <w:rPr>
          <w:rFonts w:ascii="Times New Roman" w:hAnsi="Times New Roman"/>
          <w:sz w:val="28"/>
          <w:szCs w:val="28"/>
        </w:rPr>
        <w:t>и, организацию и проведение конкурсов и аукционов, р</w:t>
      </w:r>
      <w:r w:rsidRPr="001333B5">
        <w:rPr>
          <w:rFonts w:ascii="Times New Roman" w:hAnsi="Times New Roman"/>
          <w:sz w:val="28"/>
          <w:szCs w:val="24"/>
        </w:rPr>
        <w:t>асходы на участие в межмуниципальном сотрудничестве</w:t>
      </w:r>
    </w:p>
    <w:p w:rsidR="000C0A6F" w:rsidRDefault="000C0A6F" w:rsidP="000C0A6F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 xml:space="preserve">Администрация Пестяковского муниципального района производит выплаты </w:t>
      </w:r>
      <w:r w:rsidRPr="009A0E85">
        <w:rPr>
          <w:rFonts w:ascii="Times New Roman" w:hAnsi="Times New Roman"/>
          <w:sz w:val="28"/>
          <w:szCs w:val="28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9A0E85">
        <w:rPr>
          <w:rFonts w:ascii="Times New Roman" w:hAnsi="Times New Roman"/>
          <w:sz w:val="28"/>
          <w:szCs w:val="28"/>
        </w:rPr>
        <w:t xml:space="preserve">   </w:t>
      </w:r>
    </w:p>
    <w:p w:rsidR="000C0A6F" w:rsidRDefault="000C0A6F" w:rsidP="000C0A6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A0E85">
        <w:rPr>
          <w:rFonts w:ascii="Times New Roman" w:hAnsi="Times New Roman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3. Сведения о целевых индикаторах (показателях) Программы</w:t>
      </w:r>
    </w:p>
    <w:p w:rsidR="000C0A6F" w:rsidRPr="005A5F5B" w:rsidRDefault="000C0A6F" w:rsidP="000C0A6F">
      <w:pPr>
        <w:pStyle w:val="a6"/>
        <w:spacing w:before="0" w:beforeAutospacing="0" w:after="0" w:afterAutospacing="0"/>
        <w:rPr>
          <w:lang w:eastAsia="ar-SA"/>
        </w:rPr>
      </w:pPr>
    </w:p>
    <w:p w:rsidR="000C0A6F" w:rsidRDefault="000C0A6F" w:rsidP="000C0A6F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1333B5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9A0E8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9A0E85">
        <w:rPr>
          <w:rFonts w:ascii="Times New Roman" w:hAnsi="Times New Roman"/>
          <w:b/>
          <w:sz w:val="28"/>
          <w:szCs w:val="24"/>
        </w:rPr>
        <w:t>Сведения о целевых индикаторах (показателях) Программы</w:t>
      </w:r>
    </w:p>
    <w:p w:rsidR="000C0A6F" w:rsidRPr="008E2670" w:rsidRDefault="000C0A6F" w:rsidP="000C0A6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0836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998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</w:tblGrid>
      <w:tr w:rsidR="00151C2B" w:rsidRPr="005A5F5B" w:rsidTr="00151C2B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8" w:type="dxa"/>
            <w:vMerge w:val="restart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Значения целевых индикаторов (показателей)</w:t>
            </w: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C2B" w:rsidRPr="005A5F5B" w:rsidTr="007D15B3">
        <w:trPr>
          <w:cantSplit/>
          <w:trHeight w:val="667"/>
        </w:trPr>
        <w:tc>
          <w:tcPr>
            <w:tcW w:w="610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vMerge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D66E1C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D66E1C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151C2B" w:rsidRPr="000A3479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C2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151C2B" w:rsidRPr="005A5F5B" w:rsidTr="00151C2B">
        <w:trPr>
          <w:cantSplit/>
          <w:trHeight w:val="142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5A5F5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BB346D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Pr="000A3479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51C2B" w:rsidRDefault="00151C2B" w:rsidP="00165B41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C2B" w:rsidRPr="005A5F5B" w:rsidTr="007D15B3">
        <w:trPr>
          <w:cantSplit/>
          <w:trHeight w:val="1067"/>
        </w:trPr>
        <w:tc>
          <w:tcPr>
            <w:tcW w:w="610" w:type="dxa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165B4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151C2B" w:rsidP="00165B4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165B41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165B41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151C2B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51C2B" w:rsidRPr="005A5F5B" w:rsidTr="007D15B3">
        <w:trPr>
          <w:cantSplit/>
          <w:trHeight w:val="1448"/>
        </w:trPr>
        <w:tc>
          <w:tcPr>
            <w:tcW w:w="610" w:type="dxa"/>
          </w:tcPr>
          <w:p w:rsidR="00151C2B" w:rsidRPr="005A5F5B" w:rsidRDefault="00151C2B" w:rsidP="007C6E9B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151C2B" w:rsidRPr="005A5F5B" w:rsidRDefault="00151C2B" w:rsidP="007C6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7C6E9B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left="-277" w:firstLine="277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7C6E9B">
            <w:pPr>
              <w:pStyle w:val="ConsPlusNormal"/>
              <w:widowControl/>
              <w:spacing w:line="360" w:lineRule="auto"/>
              <w:ind w:firstLine="0"/>
              <w:rPr>
                <w:sz w:val="24"/>
                <w:szCs w:val="24"/>
              </w:rPr>
            </w:pPr>
            <w:r w:rsidRPr="00D66E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1C2B" w:rsidRPr="00D66E1C" w:rsidRDefault="00151C2B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D66E1C" w:rsidRDefault="007D15B3" w:rsidP="007C6E9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Pr="00D66E1C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BB346D" w:rsidRDefault="00151C2B" w:rsidP="007C6E9B">
            <w:pPr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0A3479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C2B" w:rsidRDefault="00151C2B" w:rsidP="007C6E9B">
            <w:pPr>
              <w:spacing w:after="16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51C2B" w:rsidRPr="00151C2B" w:rsidRDefault="00151C2B" w:rsidP="007C6E9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51C2B" w:rsidRPr="005A5F5B" w:rsidTr="007D15B3">
        <w:trPr>
          <w:cantSplit/>
          <w:trHeight w:val="915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C2B" w:rsidRPr="005A5F5B" w:rsidTr="007D15B3">
        <w:trPr>
          <w:cantSplit/>
          <w:trHeight w:val="1219"/>
        </w:trPr>
        <w:tc>
          <w:tcPr>
            <w:tcW w:w="610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9" w:type="dxa"/>
            <w:vAlign w:val="center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151C2B" w:rsidRPr="005A5F5B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151C2B" w:rsidRPr="00D66E1C" w:rsidRDefault="00151C2B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151C2B" w:rsidRPr="00D66E1C" w:rsidRDefault="00151C2B" w:rsidP="00165B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D66E1C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1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BB346D" w:rsidRDefault="00151C2B" w:rsidP="00165B4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0A3479" w:rsidRDefault="00151C2B" w:rsidP="00165B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151C2B" w:rsidRDefault="00151C2B" w:rsidP="00165B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1C2B" w:rsidRPr="00151C2B" w:rsidRDefault="00151C2B" w:rsidP="00151C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734AC5" w:rsidRDefault="00734AC5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</w:p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1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0A6F" w:rsidRPr="005A5F5B" w:rsidTr="00165B41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0C0A6F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A6F" w:rsidRPr="005A5F5B" w:rsidTr="00165B41">
        <w:trPr>
          <w:trHeight w:val="20"/>
          <w:jc w:val="right"/>
        </w:trPr>
        <w:tc>
          <w:tcPr>
            <w:tcW w:w="5276" w:type="dxa"/>
            <w:gridSpan w:val="2"/>
          </w:tcPr>
          <w:p w:rsidR="000C0A6F" w:rsidRPr="005A5F5B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0C0A6F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ind w:left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0C0A6F" w:rsidRPr="005A5F5B" w:rsidTr="00165B41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151C2B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0C0A6F" w:rsidRPr="005A5F5B" w:rsidTr="00165B41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0C0A6F" w:rsidRPr="005A5F5B" w:rsidRDefault="000C0A6F" w:rsidP="00165B41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0C0A6F" w:rsidRPr="005A5F5B" w:rsidTr="00165B41">
        <w:trPr>
          <w:trHeight w:val="2956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037185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EC1F50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Pr="00DF7130" w:rsidRDefault="00EC1F50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 -  932 435,26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51C2B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2024г.-  932 435,26 рублей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0C0A6F" w:rsidRPr="00DF7130" w:rsidRDefault="000C0A6F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DF7130">
              <w:rPr>
                <w:rFonts w:ascii="Times New Roman" w:hAnsi="Times New Roman"/>
                <w:sz w:val="24"/>
                <w:szCs w:val="24"/>
              </w:rPr>
              <w:t>.-  588 255,58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0C0A6F" w:rsidRPr="00DF7130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DF7130" w:rsidRDefault="00EC1F50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 w:rsidR="00EC1F50">
              <w:rPr>
                <w:rFonts w:ascii="Times New Roman" w:hAnsi="Times New Roman"/>
                <w:sz w:val="24"/>
                <w:szCs w:val="24"/>
              </w:rPr>
              <w:t>– 932 435,26</w:t>
            </w:r>
            <w:r w:rsidR="000C0A6F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C0A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2B" w:rsidRPr="005A5F5B" w:rsidRDefault="00151C2B" w:rsidP="00B311E0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- 932 435,26 рулей</w:t>
            </w:r>
          </w:p>
        </w:tc>
      </w:tr>
      <w:tr w:rsidR="000C0A6F" w:rsidRPr="005A5F5B" w:rsidTr="00165B41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0C0A6F" w:rsidRPr="005A5F5B" w:rsidRDefault="000C0A6F" w:rsidP="00165B4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color w:val="000000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 – «Создание условий для деятельности Совета Пестяковского городского поселения».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Для выполнения </w:t>
      </w:r>
      <w:r w:rsidRPr="001333B5">
        <w:rPr>
          <w:rFonts w:ascii="Times New Roman" w:hAnsi="Times New Roman"/>
          <w:b/>
          <w:sz w:val="28"/>
          <w:szCs w:val="24"/>
        </w:rPr>
        <w:t>основного мероприятия</w:t>
      </w:r>
      <w:r w:rsidRPr="001333B5">
        <w:rPr>
          <w:rFonts w:ascii="Times New Roman" w:hAnsi="Times New Roman"/>
          <w:sz w:val="28"/>
          <w:szCs w:val="24"/>
        </w:rPr>
        <w:t xml:space="preserve"> Подпрограмма предусматривает реализацию следующих мероприятий: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Расходы на обеспечение функционирования деятельности главы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В мероприятие входит оплата труда с начислениями  главе Пестяковского городского поселения.</w:t>
      </w:r>
    </w:p>
    <w:p w:rsidR="000C0A6F" w:rsidRPr="001333B5" w:rsidRDefault="000C0A6F" w:rsidP="000C0A6F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Обеспечение функционирования деятельности Совета Пестяковского городского поселения.</w:t>
      </w:r>
    </w:p>
    <w:p w:rsidR="000C0A6F" w:rsidRPr="001333B5" w:rsidRDefault="000C0A6F" w:rsidP="000C0A6F">
      <w:pPr>
        <w:pStyle w:val="a7"/>
        <w:spacing w:line="276" w:lineRule="auto"/>
        <w:ind w:left="0" w:firstLine="851"/>
        <w:contextualSpacing/>
        <w:jc w:val="both"/>
        <w:rPr>
          <w:sz w:val="28"/>
        </w:rPr>
      </w:pPr>
      <w:r w:rsidRPr="001333B5">
        <w:rPr>
          <w:sz w:val="28"/>
        </w:rPr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 xml:space="preserve"> </w:t>
      </w:r>
    </w:p>
    <w:p w:rsidR="000C0A6F" w:rsidRPr="001333B5" w:rsidRDefault="000C0A6F" w:rsidP="000C0A6F">
      <w:pPr>
        <w:pStyle w:val="4"/>
        <w:keepNext w:val="0"/>
        <w:widowControl w:val="0"/>
        <w:numPr>
          <w:ilvl w:val="0"/>
          <w:numId w:val="2"/>
        </w:numPr>
        <w:spacing w:before="0" w:after="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ind w:firstLine="709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C0A6F" w:rsidRDefault="000C0A6F" w:rsidP="00996217">
      <w:pPr>
        <w:jc w:val="both"/>
        <w:rPr>
          <w:rFonts w:ascii="Times New Roman" w:hAnsi="Times New Roman"/>
          <w:sz w:val="28"/>
          <w:szCs w:val="24"/>
        </w:rPr>
      </w:pPr>
    </w:p>
    <w:p w:rsidR="000C0A6F" w:rsidRPr="00151C2B" w:rsidRDefault="000C0A6F" w:rsidP="000C0A6F">
      <w:pPr>
        <w:tabs>
          <w:tab w:val="left" w:pos="2595"/>
        </w:tabs>
        <w:rPr>
          <w:rFonts w:ascii="Times New Roman" w:hAnsi="Times New Roman"/>
          <w:b/>
        </w:rPr>
        <w:sectPr w:rsidR="000C0A6F" w:rsidRPr="00151C2B" w:rsidSect="007D15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1C2B">
        <w:rPr>
          <w:rFonts w:ascii="Times New Roman" w:hAnsi="Times New Roman"/>
          <w:b/>
        </w:rPr>
        <w:tab/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8E2670">
        <w:rPr>
          <w:rFonts w:ascii="Times New Roman" w:hAnsi="Times New Roman"/>
          <w:szCs w:val="24"/>
        </w:rPr>
        <w:t>Таблица 2</w:t>
      </w:r>
    </w:p>
    <w:tbl>
      <w:tblPr>
        <w:tblW w:w="45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99"/>
        <w:gridCol w:w="708"/>
        <w:gridCol w:w="991"/>
        <w:gridCol w:w="1136"/>
        <w:gridCol w:w="991"/>
        <w:gridCol w:w="991"/>
        <w:gridCol w:w="994"/>
        <w:gridCol w:w="991"/>
        <w:gridCol w:w="994"/>
        <w:gridCol w:w="1009"/>
        <w:gridCol w:w="975"/>
      </w:tblGrid>
      <w:tr w:rsidR="008F5791" w:rsidRPr="005A5F5B" w:rsidTr="008F5791">
        <w:trPr>
          <w:trHeight w:val="5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№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Ед.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791" w:rsidRPr="005A5F5B" w:rsidRDefault="008F5791" w:rsidP="00165B41">
            <w:pPr>
              <w:pStyle w:val="ConsPlusNormal"/>
              <w:widowControl/>
              <w:ind w:left="-109" w:firstLine="0"/>
              <w:outlineLvl w:val="3"/>
              <w:rPr>
                <w:b/>
                <w:bCs/>
                <w:sz w:val="24"/>
                <w:szCs w:val="24"/>
              </w:rPr>
            </w:pPr>
            <w:r w:rsidRPr="005A5F5B">
              <w:rPr>
                <w:b/>
                <w:bCs/>
                <w:sz w:val="24"/>
                <w:szCs w:val="24"/>
              </w:rPr>
              <w:t>Значение показателей эффективности по годам</w:t>
            </w:r>
          </w:p>
        </w:tc>
      </w:tr>
      <w:tr w:rsidR="00151C2B" w:rsidRPr="005A5F5B" w:rsidTr="00B311E0">
        <w:trPr>
          <w:trHeight w:val="42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2016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2017год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2018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2019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8F5791">
              <w:rPr>
                <w:bCs/>
              </w:rPr>
              <w:t>2020 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7C6E9B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8F5791" w:rsidRDefault="00151C2B" w:rsidP="00B311E0">
            <w:pPr>
              <w:widowControl w:val="0"/>
              <w:spacing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 w:rsidRPr="008F5791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151C2B" w:rsidRPr="008F5791" w:rsidRDefault="00151C2B" w:rsidP="007C6E9B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nil"/>
              <w:bottom w:val="nil"/>
            </w:tcBorders>
            <w:shd w:val="clear" w:color="auto" w:fill="auto"/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369" w:type="pct"/>
            <w:tcBorders>
              <w:top w:val="nil"/>
              <w:bottom w:val="nil"/>
            </w:tcBorders>
          </w:tcPr>
          <w:p w:rsidR="00151C2B" w:rsidRPr="008F5791" w:rsidRDefault="00151C2B" w:rsidP="007C6E9B">
            <w:pPr>
              <w:widowControl w:val="0"/>
              <w:spacing w:after="16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F5791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</w:tr>
      <w:tr w:rsidR="008F5791" w:rsidRPr="005A5F5B" w:rsidTr="008F5791">
        <w:trPr>
          <w:trHeight w:val="8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1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Создание условий для деятельности Совета</w:t>
            </w:r>
          </w:p>
          <w:p w:rsidR="008F5791" w:rsidRPr="005A5F5B" w:rsidRDefault="008F5791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Пестяковского городского поселения</w:t>
            </w:r>
          </w:p>
          <w:p w:rsidR="008F5791" w:rsidRDefault="008F5791" w:rsidP="00165B41">
            <w:pP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  <w:p w:rsidR="008F5791" w:rsidRPr="005A5F5B" w:rsidRDefault="008F5791" w:rsidP="00165B41">
            <w:pPr>
              <w:pStyle w:val="ConsPlusNormal"/>
              <w:widowControl/>
              <w:ind w:right="-109" w:firstLine="0"/>
              <w:rPr>
                <w:b/>
                <w:sz w:val="24"/>
                <w:szCs w:val="24"/>
              </w:rPr>
            </w:pPr>
          </w:p>
        </w:tc>
      </w:tr>
      <w:tr w:rsidR="00151C2B" w:rsidRPr="005A5F5B" w:rsidTr="00B311E0">
        <w:trPr>
          <w:trHeight w:val="91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100</w:t>
            </w:r>
          </w:p>
        </w:tc>
      </w:tr>
      <w:tr w:rsidR="00151C2B" w:rsidRPr="005A5F5B" w:rsidTr="00B311E0">
        <w:trPr>
          <w:trHeight w:val="123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B" w:rsidRPr="005A5F5B" w:rsidRDefault="00151C2B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2B" w:rsidRPr="005A5F5B" w:rsidRDefault="00151C2B" w:rsidP="00165B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5A5F5B">
              <w:rPr>
                <w:rFonts w:ascii="Times New Roman" w:eastAsia="SimSun" w:hAnsi="Times New Roman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5A5F5B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C2B" w:rsidRPr="008F5791" w:rsidRDefault="00151C2B" w:rsidP="00165B4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F5791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auto" w:fill="auto"/>
            <w:vAlign w:val="bottom"/>
          </w:tcPr>
          <w:p w:rsidR="00151C2B" w:rsidRPr="008F5791" w:rsidRDefault="00151C2B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151C2B" w:rsidP="00165B4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vAlign w:val="bottom"/>
          </w:tcPr>
          <w:p w:rsidR="008F5791" w:rsidRPr="008F5791" w:rsidRDefault="008F5791" w:rsidP="00165B41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151C2B" w:rsidRPr="008F5791" w:rsidRDefault="008F5791" w:rsidP="008F5791">
            <w:pPr>
              <w:rPr>
                <w:rFonts w:ascii="Times New Roman" w:hAnsi="Times New Roman"/>
              </w:rPr>
            </w:pPr>
            <w:r w:rsidRPr="008F5791">
              <w:rPr>
                <w:rFonts w:ascii="Times New Roman" w:hAnsi="Times New Roman"/>
              </w:rPr>
              <w:t>0</w:t>
            </w:r>
          </w:p>
        </w:tc>
      </w:tr>
    </w:tbl>
    <w:p w:rsidR="000C0A6F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8"/>
        <w:rPr>
          <w:rFonts w:ascii="Times New Roman" w:hAnsi="Times New Roman"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8F5791" w:rsidRDefault="008F5791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4.  Ресурсное обеспечение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pStyle w:val="ConsPlusTitle"/>
        <w:widowControl/>
        <w:jc w:val="right"/>
        <w:outlineLvl w:val="0"/>
        <w:rPr>
          <w:b w:val="0"/>
          <w:sz w:val="28"/>
        </w:rPr>
      </w:pP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0C0A6F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</w:p>
    <w:p w:rsidR="000C0A6F" w:rsidRPr="00D71266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   </w:t>
      </w:r>
      <w:r w:rsidR="007C6E9B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2670">
        <w:rPr>
          <w:rFonts w:ascii="Times New Roman" w:hAnsi="Times New Roman"/>
          <w:szCs w:val="24"/>
        </w:rPr>
        <w:t>Таблица 3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74"/>
        <w:gridCol w:w="3529"/>
        <w:gridCol w:w="1418"/>
        <w:gridCol w:w="1275"/>
        <w:gridCol w:w="1276"/>
        <w:gridCol w:w="1418"/>
        <w:gridCol w:w="1417"/>
        <w:gridCol w:w="1417"/>
        <w:gridCol w:w="1417"/>
        <w:gridCol w:w="1417"/>
      </w:tblGrid>
      <w:tr w:rsidR="008F5791" w:rsidRPr="005A5F5B" w:rsidTr="008F5791">
        <w:trPr>
          <w:trHeight w:val="825"/>
        </w:trPr>
        <w:tc>
          <w:tcPr>
            <w:tcW w:w="974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F5791" w:rsidRPr="005A5F5B" w:rsidRDefault="008F5791" w:rsidP="00165B41">
            <w:pPr>
              <w:widowControl w:val="0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F5791" w:rsidRPr="005A5F5B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8F5791" w:rsidRDefault="008F5791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BE755B" w:rsidRPr="005A5F5B" w:rsidTr="008F5791">
        <w:trPr>
          <w:trHeight w:val="354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042347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207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595"/>
        </w:trPr>
        <w:tc>
          <w:tcPr>
            <w:tcW w:w="4503" w:type="dxa"/>
            <w:gridSpan w:val="2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BE755B" w:rsidRPr="00596FAF" w:rsidRDefault="00BE755B" w:rsidP="00BE75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FA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/>
          </w:tcPr>
          <w:p w:rsidR="00BE755B" w:rsidRPr="005A5F5B" w:rsidRDefault="00BE755B" w:rsidP="00BE755B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752607,00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777636,00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588 255,58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964 140,47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936 786,50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932 435,26</w:t>
            </w:r>
          </w:p>
        </w:tc>
      </w:tr>
      <w:tr w:rsidR="00BE755B" w:rsidRPr="005A5F5B" w:rsidTr="008F5791">
        <w:trPr>
          <w:trHeight w:val="306"/>
        </w:trPr>
        <w:tc>
          <w:tcPr>
            <w:tcW w:w="974" w:type="dxa"/>
            <w:vMerge w:val="restart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29" w:type="dxa"/>
          </w:tcPr>
          <w:p w:rsidR="00BE755B" w:rsidRPr="005A5F5B" w:rsidRDefault="00BE755B" w:rsidP="00BE755B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744 808,27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50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744 808,27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BE755B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BE755B" w:rsidRPr="005D6F2F" w:rsidRDefault="00BE755B" w:rsidP="00BE755B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</w:rPr>
            </w:pPr>
            <w:r w:rsidRPr="00B311E0">
              <w:rPr>
                <w:rFonts w:ascii="Times New Roman" w:hAnsi="Times New Roman"/>
              </w:rPr>
              <w:t>606742,00</w:t>
            </w:r>
          </w:p>
        </w:tc>
        <w:tc>
          <w:tcPr>
            <w:tcW w:w="1275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</w:rPr>
              <w:t>635771,00</w:t>
            </w:r>
          </w:p>
        </w:tc>
        <w:tc>
          <w:tcPr>
            <w:tcW w:w="1276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629808,54</w:t>
            </w:r>
          </w:p>
        </w:tc>
        <w:tc>
          <w:tcPr>
            <w:tcW w:w="1418" w:type="dxa"/>
          </w:tcPr>
          <w:p w:rsidR="00BE755B" w:rsidRPr="00B311E0" w:rsidRDefault="00BE755B" w:rsidP="00BE755B">
            <w:pPr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416 109,58</w:t>
            </w:r>
          </w:p>
        </w:tc>
        <w:tc>
          <w:tcPr>
            <w:tcW w:w="1417" w:type="dxa"/>
          </w:tcPr>
          <w:p w:rsidR="00BE755B" w:rsidRPr="00B311E0" w:rsidRDefault="00037185" w:rsidP="00BE75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714 781,47</w:t>
            </w:r>
          </w:p>
        </w:tc>
        <w:tc>
          <w:tcPr>
            <w:tcW w:w="1417" w:type="dxa"/>
          </w:tcPr>
          <w:p w:rsidR="00BE755B" w:rsidRPr="00B311E0" w:rsidRDefault="00042347" w:rsidP="00BE755B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744 808,27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  <w:tc>
          <w:tcPr>
            <w:tcW w:w="1417" w:type="dxa"/>
          </w:tcPr>
          <w:p w:rsidR="00BE755B" w:rsidRPr="00B311E0" w:rsidRDefault="00BE755B" w:rsidP="00BE755B">
            <w:pPr>
              <w:widowControl w:val="0"/>
              <w:rPr>
                <w:rFonts w:ascii="Times New Roman" w:hAnsi="Times New Roman"/>
                <w:b/>
              </w:rPr>
            </w:pPr>
            <w:r w:rsidRPr="00B311E0">
              <w:rPr>
                <w:rFonts w:ascii="Times New Roman" w:hAnsi="Times New Roman"/>
                <w:b/>
              </w:rPr>
              <w:t>736 301,00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 w:val="restart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1.2</w:t>
            </w:r>
          </w:p>
        </w:tc>
        <w:tc>
          <w:tcPr>
            <w:tcW w:w="3529" w:type="dxa"/>
          </w:tcPr>
          <w:p w:rsidR="008F5791" w:rsidRPr="005D6F2F" w:rsidRDefault="008F5791" w:rsidP="00165B4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 xml:space="preserve">Обеспечение функционирования деятельности Совета </w:t>
            </w:r>
            <w:r w:rsidRPr="005D6F2F">
              <w:rPr>
                <w:rFonts w:ascii="Times New Roman" w:hAnsi="Times New Roman"/>
              </w:rPr>
              <w:lastRenderedPageBreak/>
              <w:t>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lastRenderedPageBreak/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141865,00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734AC5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191 9</w:t>
            </w:r>
            <w:bookmarkStart w:id="0" w:name="_GoBack"/>
            <w:bookmarkEnd w:id="0"/>
            <w:r w:rsidR="00042347">
              <w:rPr>
                <w:rFonts w:ascii="Times New Roman" w:hAnsi="Times New Roman"/>
                <w:b/>
                <w:bCs/>
                <w:color w:val="26282F"/>
              </w:rPr>
              <w:t>78,23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196 134,261</w:t>
            </w:r>
          </w:p>
        </w:tc>
      </w:tr>
      <w:tr w:rsidR="008F5791" w:rsidRPr="005D6F2F" w:rsidTr="008F5791">
        <w:trPr>
          <w:trHeight w:val="267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B50CCB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249 359,00</w:t>
            </w:r>
          </w:p>
        </w:tc>
        <w:tc>
          <w:tcPr>
            <w:tcW w:w="1417" w:type="dxa"/>
          </w:tcPr>
          <w:p w:rsidR="008F5791" w:rsidRPr="00B311E0" w:rsidRDefault="00042347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191 978,23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  <w:tr w:rsidR="008F5791" w:rsidRPr="005D6F2F" w:rsidTr="008F5791">
        <w:trPr>
          <w:trHeight w:val="306"/>
        </w:trPr>
        <w:tc>
          <w:tcPr>
            <w:tcW w:w="974" w:type="dxa"/>
            <w:vMerge/>
            <w:vAlign w:val="center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</w:p>
        </w:tc>
        <w:tc>
          <w:tcPr>
            <w:tcW w:w="3529" w:type="dxa"/>
          </w:tcPr>
          <w:p w:rsidR="008F5791" w:rsidRPr="005D6F2F" w:rsidRDefault="008F5791" w:rsidP="00165B41">
            <w:pPr>
              <w:rPr>
                <w:rFonts w:ascii="Times New Roman" w:hAnsi="Times New Roman"/>
              </w:rPr>
            </w:pPr>
            <w:r w:rsidRPr="005D6F2F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145865,00</w:t>
            </w:r>
          </w:p>
        </w:tc>
        <w:tc>
          <w:tcPr>
            <w:tcW w:w="1275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Cs/>
                <w:color w:val="26282F"/>
              </w:rPr>
            </w:pPr>
            <w:r w:rsidRPr="00B311E0">
              <w:rPr>
                <w:rFonts w:ascii="Times New Roman" w:hAnsi="Times New Roman"/>
                <w:bCs/>
                <w:color w:val="26282F"/>
              </w:rPr>
              <w:t>141869,00</w:t>
            </w:r>
          </w:p>
        </w:tc>
        <w:tc>
          <w:tcPr>
            <w:tcW w:w="1276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147827,46</w:t>
            </w:r>
          </w:p>
        </w:tc>
        <w:tc>
          <w:tcPr>
            <w:tcW w:w="1418" w:type="dxa"/>
          </w:tcPr>
          <w:p w:rsidR="008F5791" w:rsidRPr="00B311E0" w:rsidRDefault="008F5791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172 146,00</w:t>
            </w:r>
          </w:p>
        </w:tc>
        <w:tc>
          <w:tcPr>
            <w:tcW w:w="1417" w:type="dxa"/>
          </w:tcPr>
          <w:p w:rsidR="008F5791" w:rsidRPr="00B311E0" w:rsidRDefault="00037185" w:rsidP="00037185">
            <w:pPr>
              <w:jc w:val="both"/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 xml:space="preserve">  249 359,00</w:t>
            </w:r>
          </w:p>
        </w:tc>
        <w:tc>
          <w:tcPr>
            <w:tcW w:w="1417" w:type="dxa"/>
          </w:tcPr>
          <w:p w:rsidR="008F5791" w:rsidRPr="00B311E0" w:rsidRDefault="00042347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>
              <w:rPr>
                <w:rFonts w:ascii="Times New Roman" w:hAnsi="Times New Roman"/>
                <w:b/>
                <w:bCs/>
                <w:color w:val="26282F"/>
              </w:rPr>
              <w:t>191 978,23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  <w:tc>
          <w:tcPr>
            <w:tcW w:w="1417" w:type="dxa"/>
          </w:tcPr>
          <w:p w:rsidR="008F5791" w:rsidRPr="00B311E0" w:rsidRDefault="00BE755B" w:rsidP="00165B41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B311E0">
              <w:rPr>
                <w:rFonts w:ascii="Times New Roman" w:hAnsi="Times New Roman"/>
                <w:b/>
                <w:bCs/>
                <w:color w:val="26282F"/>
              </w:rPr>
              <w:t>196 134,26</w:t>
            </w:r>
          </w:p>
        </w:tc>
      </w:tr>
    </w:tbl>
    <w:p w:rsidR="000C0A6F" w:rsidRDefault="000C0A6F" w:rsidP="000C0A6F">
      <w:pPr>
        <w:ind w:firstLine="709"/>
        <w:rPr>
          <w:rFonts w:ascii="Times New Roman" w:hAnsi="Times New Roman"/>
        </w:rPr>
        <w:sectPr w:rsidR="000C0A6F" w:rsidSect="00165B4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0C0A6F" w:rsidRPr="008E2670" w:rsidTr="00165B41">
        <w:trPr>
          <w:trHeight w:val="1276"/>
          <w:jc w:val="right"/>
        </w:trPr>
        <w:tc>
          <w:tcPr>
            <w:tcW w:w="3820" w:type="dxa"/>
          </w:tcPr>
          <w:p w:rsidR="000C0A6F" w:rsidRPr="008E2670" w:rsidRDefault="000C0A6F" w:rsidP="00165B41">
            <w:pPr>
              <w:tabs>
                <w:tab w:val="left" w:pos="3620"/>
                <w:tab w:val="left" w:pos="6255"/>
              </w:tabs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szCs w:val="24"/>
              </w:rPr>
              <w:lastRenderedPageBreak/>
              <w:t>Приложение 2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к муниципальной программе</w:t>
            </w:r>
          </w:p>
          <w:p w:rsidR="000C0A6F" w:rsidRPr="008E2670" w:rsidRDefault="000C0A6F" w:rsidP="00165B41">
            <w:pPr>
              <w:jc w:val="right"/>
              <w:rPr>
                <w:rFonts w:ascii="Times New Roman" w:hAnsi="Times New Roman"/>
                <w:szCs w:val="24"/>
              </w:rPr>
            </w:pPr>
            <w:r w:rsidRPr="008E2670">
              <w:rPr>
                <w:rFonts w:ascii="Times New Roman" w:hAnsi="Times New Roman"/>
                <w:bCs/>
                <w:szCs w:val="24"/>
              </w:rPr>
              <w:t>«</w:t>
            </w:r>
            <w:r w:rsidRPr="008E2670">
              <w:rPr>
                <w:rFonts w:ascii="Times New Roman" w:hAnsi="Times New Roman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0C0A6F" w:rsidRPr="005A5F5B" w:rsidRDefault="000C0A6F" w:rsidP="000C0A6F">
      <w:pPr>
        <w:rPr>
          <w:rFonts w:ascii="Times New Roman" w:hAnsi="Times New Roman"/>
          <w:sz w:val="24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Иные  мероприятия в области муниципального управления»</w:t>
      </w:r>
    </w:p>
    <w:p w:rsidR="000C0A6F" w:rsidRPr="001333B5" w:rsidRDefault="000C0A6F" w:rsidP="000C0A6F">
      <w:pPr>
        <w:ind w:left="720" w:hanging="720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0C0A6F" w:rsidRPr="005A5F5B" w:rsidTr="00165B41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0C0A6F" w:rsidRPr="005A5F5B" w:rsidTr="00165B41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Срок 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2670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695BA0" w:rsidP="0016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="000C0A6F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C0A6F" w:rsidRPr="005A5F5B" w:rsidTr="00165B41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0C0A6F" w:rsidRPr="005A5F5B" w:rsidTr="00165B41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Исполнители </w:t>
            </w:r>
          </w:p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0A6F" w:rsidRPr="00EC1411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0C0A6F" w:rsidRPr="005A5F5B" w:rsidTr="00165B41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5A5F5B" w:rsidRDefault="000C0A6F" w:rsidP="00165B41">
            <w:pPr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0C0A6F" w:rsidRPr="005A5F5B" w:rsidTr="00165B41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069FB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.- 393 340,00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C0A6F" w:rsidRPr="00054102" w:rsidRDefault="00037185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Pr="00054102" w:rsidRDefault="00FE415B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2022г.- 115 681</w:t>
            </w:r>
            <w:r w:rsidR="00695BA0" w:rsidRPr="00054102">
              <w:rPr>
                <w:rFonts w:ascii="Times New Roman" w:hAnsi="Times New Roman"/>
                <w:sz w:val="24"/>
                <w:szCs w:val="24"/>
              </w:rPr>
              <w:t>,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00 рублей</w:t>
            </w:r>
          </w:p>
          <w:p w:rsidR="000C0A6F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2023г.- 45 681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2024г.- 45 681,00рублей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Пестяковского муниципального района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695BA0" w:rsidRPr="00054102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2024г.- 0,00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054102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,73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</w:t>
            </w:r>
            <w:r w:rsidR="00165B41" w:rsidRPr="00054102">
              <w:rPr>
                <w:rFonts w:ascii="Times New Roman" w:hAnsi="Times New Roman"/>
                <w:sz w:val="24"/>
                <w:szCs w:val="24"/>
              </w:rPr>
              <w:t>.- 393 340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0C0A6F" w:rsidRPr="00054102" w:rsidRDefault="005621E1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 xml:space="preserve">2021г.- </w:t>
            </w:r>
            <w:r w:rsidR="00037185">
              <w:rPr>
                <w:rFonts w:ascii="Times New Roman" w:hAnsi="Times New Roman"/>
                <w:sz w:val="24"/>
                <w:szCs w:val="24"/>
              </w:rPr>
              <w:t>73 694,50</w:t>
            </w:r>
            <w:r w:rsidR="000C0A6F" w:rsidRPr="0005410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0C0A6F" w:rsidRDefault="00FE415B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2022г.- 115 681</w:t>
            </w:r>
            <w:r w:rsidR="00695BA0">
              <w:rPr>
                <w:rFonts w:ascii="Times New Roman" w:hAnsi="Times New Roman"/>
                <w:sz w:val="24"/>
                <w:szCs w:val="24"/>
              </w:rPr>
              <w:t>,00</w:t>
            </w:r>
            <w:r w:rsidR="000C0A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0C0A6F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2023г.- 45 681</w:t>
            </w:r>
            <w:r w:rsidR="000C0A6F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  <w:p w:rsidR="00695BA0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2024г.- 45 681,00 рублей</w:t>
            </w:r>
          </w:p>
          <w:p w:rsidR="000C0A6F" w:rsidRPr="006D02E6" w:rsidRDefault="000C0A6F" w:rsidP="00B311E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областной бюджет</w:t>
            </w:r>
            <w:r w:rsidRPr="009A1D3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2016г.- 0,00</w:t>
            </w:r>
            <w:r w:rsidRPr="00054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10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0C0A6F" w:rsidRPr="00054102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4102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0C0A6F" w:rsidRDefault="000C0A6F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0C0A6F" w:rsidRPr="005A5F5B" w:rsidRDefault="00695BA0" w:rsidP="00B311E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2024г.- 0,00рублей</w:t>
            </w:r>
          </w:p>
        </w:tc>
      </w:tr>
      <w:tr w:rsidR="000C0A6F" w:rsidRPr="005A5F5B" w:rsidTr="00165B41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8E2670" w:rsidRDefault="000C0A6F" w:rsidP="00165B41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E2670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A6F" w:rsidRPr="00054443" w:rsidRDefault="000C0A6F" w:rsidP="00165B41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054443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0C0A6F" w:rsidRPr="005A5F5B" w:rsidRDefault="000C0A6F" w:rsidP="000C0A6F">
      <w:pPr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0C0A6F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2. Характеристика основных мероприятий подпрограммы</w:t>
      </w: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 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0C0A6F" w:rsidRPr="001333B5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 xml:space="preserve">Подпрограмма предусматривает выполнение </w:t>
      </w:r>
      <w:r w:rsidRPr="001333B5">
        <w:rPr>
          <w:rFonts w:ascii="Times New Roman" w:hAnsi="Times New Roman"/>
          <w:b/>
          <w:sz w:val="28"/>
        </w:rPr>
        <w:t>основного мероприятия – «Создание условий для проведения иных мероприятий в области муниципального управления».</w:t>
      </w:r>
    </w:p>
    <w:p w:rsidR="000C0A6F" w:rsidRPr="003F4DA7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sz w:val="28"/>
        </w:rPr>
        <w:t>Для выполнения основного мероприятия Подпрограмма предусматривает реализацию следующих мероприятий:</w:t>
      </w:r>
    </w:p>
    <w:p w:rsidR="000C0A6F" w:rsidRPr="001333B5" w:rsidRDefault="000C0A6F" w:rsidP="000C0A6F">
      <w:pPr>
        <w:numPr>
          <w:ilvl w:val="0"/>
          <w:numId w:val="6"/>
        </w:numPr>
        <w:shd w:val="clear" w:color="auto" w:fill="FFFFFF"/>
        <w:ind w:left="0"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0C0A6F" w:rsidRPr="001333B5" w:rsidRDefault="000C0A6F" w:rsidP="000C0A6F">
      <w:pPr>
        <w:shd w:val="clear" w:color="auto" w:fill="FFFFFF"/>
        <w:ind w:right="1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Выплата  производится в виде ежемесячной выплаты  государственной пенсии за выслугу лет.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Организация конкурсов и аукционов</w:t>
      </w:r>
    </w:p>
    <w:p w:rsidR="000C0A6F" w:rsidRPr="001333B5" w:rsidRDefault="000C0A6F" w:rsidP="000C0A6F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Cs/>
          <w:sz w:val="28"/>
          <w:szCs w:val="24"/>
        </w:rPr>
        <w:t>Финансовые средства заложены на основании заключенного договора со специализиров</w:t>
      </w:r>
      <w:r>
        <w:rPr>
          <w:rFonts w:ascii="Times New Roman" w:hAnsi="Times New Roman"/>
          <w:bCs/>
          <w:sz w:val="28"/>
          <w:szCs w:val="24"/>
        </w:rPr>
        <w:t>анной организацией</w:t>
      </w:r>
      <w:r w:rsidRPr="001333B5">
        <w:rPr>
          <w:rFonts w:ascii="Times New Roman" w:hAnsi="Times New Roman"/>
          <w:bCs/>
          <w:sz w:val="28"/>
          <w:szCs w:val="24"/>
        </w:rPr>
        <w:t>.</w:t>
      </w:r>
    </w:p>
    <w:p w:rsidR="000C0A6F" w:rsidRPr="001333B5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lastRenderedPageBreak/>
        <w:t xml:space="preserve"> Расходы на участие в межмуниципальном сотрудничестве</w:t>
      </w:r>
    </w:p>
    <w:p w:rsidR="000C0A6F" w:rsidRPr="00BF205D" w:rsidRDefault="000C0A6F" w:rsidP="000C0A6F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8"/>
          <w:lang w:val="ru-RU"/>
        </w:rPr>
      </w:pPr>
      <w:r w:rsidRPr="001333B5">
        <w:rPr>
          <w:rFonts w:ascii="Times New Roman" w:hAnsi="Times New Roman"/>
          <w:bCs/>
          <w:sz w:val="28"/>
        </w:rPr>
        <w:t xml:space="preserve">Финансовые средства по оплате членских взносов </w:t>
      </w:r>
      <w:r w:rsidRPr="001333B5">
        <w:rPr>
          <w:rFonts w:ascii="Times New Roman" w:hAnsi="Times New Roman"/>
          <w:sz w:val="28"/>
        </w:rPr>
        <w:t>в Ассоциацию «Совет муниципальных образований Ивановской области»</w:t>
      </w:r>
      <w:r w:rsidRPr="001333B5">
        <w:rPr>
          <w:rFonts w:ascii="Times New Roman" w:hAnsi="Times New Roman"/>
          <w:bCs/>
          <w:sz w:val="28"/>
        </w:rPr>
        <w:t xml:space="preserve">» установлены учредительным договором </w:t>
      </w:r>
      <w:r w:rsidRPr="001333B5">
        <w:rPr>
          <w:rFonts w:ascii="Times New Roman" w:hAnsi="Times New Roman"/>
          <w:sz w:val="28"/>
        </w:rPr>
        <w:t>Ассоциации «Совет муниципальных образований Ивановской области.</w:t>
      </w:r>
    </w:p>
    <w:p w:rsidR="000C0A6F" w:rsidRDefault="000C0A6F" w:rsidP="000C0A6F">
      <w:pPr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>Расходы на публикации в средствах массовой информации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0C0A6F" w:rsidRDefault="000C0A6F" w:rsidP="000C0A6F">
      <w:pPr>
        <w:ind w:firstLine="851"/>
        <w:jc w:val="both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4"/>
        <w:keepNext w:val="0"/>
        <w:widowControl w:val="0"/>
        <w:spacing w:before="0" w:after="0"/>
        <w:ind w:left="720"/>
        <w:rPr>
          <w:rFonts w:ascii="Times New Roman" w:hAnsi="Times New Roman"/>
          <w:szCs w:val="24"/>
        </w:rPr>
      </w:pPr>
      <w:r w:rsidRPr="001333B5">
        <w:rPr>
          <w:rFonts w:ascii="Times New Roman" w:hAnsi="Times New Roman"/>
          <w:szCs w:val="24"/>
        </w:rPr>
        <w:t>3.</w:t>
      </w:r>
      <w:r w:rsidRPr="001333B5">
        <w:rPr>
          <w:rFonts w:ascii="Times New Roman" w:hAnsi="Times New Roman"/>
          <w:szCs w:val="24"/>
          <w:lang w:val="ru-RU"/>
        </w:rPr>
        <w:t xml:space="preserve"> </w:t>
      </w:r>
      <w:r w:rsidRPr="001333B5">
        <w:rPr>
          <w:rFonts w:ascii="Times New Roman" w:hAnsi="Times New Roman"/>
          <w:szCs w:val="24"/>
        </w:rPr>
        <w:t>Целевые индикаторы (показатели) подпрограммы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</w:rPr>
      </w:pPr>
      <w:r w:rsidRPr="001333B5">
        <w:rPr>
          <w:rFonts w:ascii="Times New Roman" w:hAnsi="Times New Roman"/>
          <w:sz w:val="28"/>
        </w:rPr>
        <w:t>Целевые показатели реализации подпрограммы представлены в нижеследующей таблице.</w:t>
      </w: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  <w:sectPr w:rsidR="000C0A6F" w:rsidSect="00165B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A6F" w:rsidRPr="001333B5" w:rsidRDefault="000C0A6F" w:rsidP="000C0A6F">
      <w:pPr>
        <w:tabs>
          <w:tab w:val="left" w:pos="2595"/>
        </w:tabs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lastRenderedPageBreak/>
        <w:t>Перечень целевых индикаторов (показателей) подпрограммы</w:t>
      </w:r>
    </w:p>
    <w:p w:rsidR="000C0A6F" w:rsidRPr="005A5F5B" w:rsidRDefault="000C0A6F" w:rsidP="000C0A6F">
      <w:pPr>
        <w:ind w:firstLine="709"/>
        <w:rPr>
          <w:rFonts w:ascii="Times New Roman" w:hAnsi="Times New Roman"/>
          <w:sz w:val="24"/>
          <w:szCs w:val="24"/>
        </w:rPr>
      </w:pPr>
      <w:r w:rsidRPr="005A5F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5A5F5B">
        <w:rPr>
          <w:rFonts w:ascii="Times New Roman" w:hAnsi="Times New Roman"/>
          <w:b/>
          <w:sz w:val="24"/>
          <w:szCs w:val="24"/>
        </w:rPr>
        <w:t xml:space="preserve"> </w:t>
      </w:r>
      <w:r w:rsidRPr="005A5F5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72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851"/>
        <w:gridCol w:w="709"/>
        <w:gridCol w:w="850"/>
        <w:gridCol w:w="851"/>
        <w:gridCol w:w="850"/>
        <w:gridCol w:w="851"/>
        <w:gridCol w:w="850"/>
        <w:gridCol w:w="709"/>
        <w:gridCol w:w="709"/>
        <w:gridCol w:w="236"/>
      </w:tblGrid>
      <w:tr w:rsidR="00695BA0" w:rsidRPr="005A5F5B" w:rsidTr="00695BA0">
        <w:trPr>
          <w:gridAfter w:val="1"/>
          <w:wAfter w:w="236" w:type="dxa"/>
          <w:cantSplit/>
          <w:trHeight w:val="692"/>
          <w:tblHeader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695BA0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10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95BA0" w:rsidRPr="00054102" w:rsidRDefault="00695BA0" w:rsidP="00695BA0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5BA0" w:rsidRPr="00054102" w:rsidRDefault="00695BA0" w:rsidP="00695BA0">
            <w:pPr>
              <w:rPr>
                <w:rFonts w:ascii="Times New Roman" w:hAnsi="Times New Roman"/>
                <w:b/>
                <w:lang w:eastAsia="ru-RU"/>
              </w:rPr>
            </w:pPr>
            <w:r w:rsidRPr="00054102"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</w:tr>
      <w:tr w:rsidR="00695BA0" w:rsidRPr="005A5F5B" w:rsidTr="00695BA0">
        <w:trPr>
          <w:cantSplit/>
          <w:trHeight w:val="789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gridSpan w:val="9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1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695BA0" w:rsidRPr="009C2817" w:rsidRDefault="00695BA0" w:rsidP="00165B41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BA0" w:rsidRPr="005A5F5B" w:rsidTr="00D712DC">
        <w:trPr>
          <w:gridAfter w:val="1"/>
          <w:wAfter w:w="236" w:type="dxa"/>
          <w:cantSplit/>
          <w:trHeight w:val="135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213714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213714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5BA0" w:rsidRPr="00165B41" w:rsidTr="00D712DC">
        <w:trPr>
          <w:gridAfter w:val="1"/>
          <w:wAfter w:w="236" w:type="dxa"/>
          <w:cantSplit/>
          <w:trHeight w:val="1804"/>
        </w:trPr>
        <w:tc>
          <w:tcPr>
            <w:tcW w:w="710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708" w:type="dxa"/>
            <w:vAlign w:val="center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5A5F5B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165B41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695BA0" w:rsidRPr="00213714" w:rsidRDefault="00695BA0" w:rsidP="00165B41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7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5BA0" w:rsidRPr="00213714" w:rsidRDefault="00695BA0" w:rsidP="000541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BA0" w:rsidRPr="00213714" w:rsidRDefault="00695BA0" w:rsidP="00054102">
            <w:pPr>
              <w:rPr>
                <w:rFonts w:ascii="Times New Roman" w:hAnsi="Times New Roman"/>
                <w:lang w:eastAsia="ru-RU"/>
              </w:rPr>
            </w:pPr>
          </w:p>
          <w:p w:rsidR="00D712DC" w:rsidRPr="00213714" w:rsidRDefault="00D712DC" w:rsidP="00054102">
            <w:pPr>
              <w:spacing w:line="720" w:lineRule="auto"/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</w:p>
          <w:p w:rsidR="00695BA0" w:rsidRPr="00213714" w:rsidRDefault="00695BA0" w:rsidP="00213714">
            <w:pPr>
              <w:rPr>
                <w:rFonts w:ascii="Times New Roman" w:hAnsi="Times New Roman"/>
                <w:lang w:eastAsia="ru-RU"/>
              </w:rPr>
            </w:pPr>
            <w:r w:rsidRPr="00213714"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Default="000C0A6F" w:rsidP="000C0A6F">
      <w:pPr>
        <w:rPr>
          <w:rFonts w:ascii="Times New Roman" w:hAnsi="Times New Roman"/>
          <w:b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4.  Ресурсное обеспечение подпрограммы</w:t>
      </w:r>
    </w:p>
    <w:p w:rsidR="000C0A6F" w:rsidRPr="001333B5" w:rsidRDefault="000C0A6F" w:rsidP="000C0A6F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  <w:r w:rsidRPr="001333B5">
        <w:rPr>
          <w:rFonts w:ascii="Times New Roman" w:hAnsi="Times New Roman"/>
          <w:sz w:val="28"/>
          <w:szCs w:val="24"/>
        </w:rPr>
        <w:t xml:space="preserve">     Расходы на реализацию мероприятий представлены в таблице 3 «Ресурсное обеспечение подпрограммы».</w:t>
      </w:r>
    </w:p>
    <w:p w:rsidR="000C0A6F" w:rsidRPr="001333B5" w:rsidRDefault="000C0A6F" w:rsidP="000C0A6F">
      <w:pPr>
        <w:rPr>
          <w:rFonts w:ascii="Times New Roman" w:hAnsi="Times New Roman"/>
          <w:sz w:val="28"/>
          <w:szCs w:val="24"/>
        </w:rPr>
      </w:pPr>
    </w:p>
    <w:p w:rsidR="000C0A6F" w:rsidRPr="001333B5" w:rsidRDefault="000C0A6F" w:rsidP="000C0A6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Ресурсное обеспечение подпрограммы, рублей</w:t>
      </w:r>
    </w:p>
    <w:p w:rsidR="000C0A6F" w:rsidRPr="005A5F5B" w:rsidRDefault="000C0A6F" w:rsidP="000C0A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04D1A">
        <w:rPr>
          <w:rFonts w:ascii="Times New Roman" w:hAnsi="Times New Roman"/>
          <w:sz w:val="24"/>
          <w:szCs w:val="24"/>
        </w:rPr>
        <w:t xml:space="preserve">                   </w:t>
      </w:r>
      <w:r w:rsidRPr="005A5F5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9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2"/>
        <w:gridCol w:w="992"/>
        <w:gridCol w:w="1134"/>
        <w:gridCol w:w="993"/>
        <w:gridCol w:w="992"/>
        <w:gridCol w:w="992"/>
        <w:gridCol w:w="992"/>
        <w:gridCol w:w="993"/>
        <w:gridCol w:w="991"/>
      </w:tblGrid>
      <w:tr w:rsidR="00943AF7" w:rsidRPr="005A5F5B" w:rsidTr="00DF7130">
        <w:trPr>
          <w:trHeight w:val="841"/>
        </w:trPr>
        <w:tc>
          <w:tcPr>
            <w:tcW w:w="567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943AF7" w:rsidRPr="00943AF7" w:rsidRDefault="00943AF7" w:rsidP="00165B4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3A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43AF7" w:rsidRPr="005A5F5B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943AF7" w:rsidRDefault="00943AF7" w:rsidP="00165B41">
            <w:pP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2024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165B41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Подпрограмма, всего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6D0C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165B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278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943AF7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607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43108,0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</w:t>
            </w:r>
          </w:p>
        </w:tc>
        <w:tc>
          <w:tcPr>
            <w:tcW w:w="992" w:type="dxa"/>
            <w:vAlign w:val="bottom"/>
          </w:tcPr>
          <w:p w:rsidR="00943AF7" w:rsidRPr="00165B41" w:rsidRDefault="00104D1A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115 681,0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Default="00943AF7" w:rsidP="002137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12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520"/>
        </w:trPr>
        <w:tc>
          <w:tcPr>
            <w:tcW w:w="1844" w:type="dxa"/>
            <w:gridSpan w:val="2"/>
          </w:tcPr>
          <w:p w:rsidR="00943AF7" w:rsidRPr="00943AF7" w:rsidRDefault="00943AF7" w:rsidP="00777072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- бюджет Пестяковского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vAlign w:val="bottom"/>
          </w:tcPr>
          <w:p w:rsidR="00943AF7" w:rsidRPr="00165B41" w:rsidRDefault="00943AF7" w:rsidP="007770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  <w:r w:rsidRPr="002E0313">
              <w:rPr>
                <w:rFonts w:ascii="Times New Roman" w:hAnsi="Times New Roman"/>
                <w:b/>
                <w:bCs/>
                <w:color w:val="26282F"/>
              </w:rPr>
              <w:lastRenderedPageBreak/>
              <w:t>1.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943AF7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DF713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681</w:t>
            </w:r>
            <w:r w:rsidR="00DF7130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43AF7" w:rsidRPr="00D55D30" w:rsidTr="00DF7130">
        <w:trPr>
          <w:trHeight w:val="307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251634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249315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,73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227 835,60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43516,00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393340,0</w:t>
            </w:r>
          </w:p>
        </w:tc>
        <w:tc>
          <w:tcPr>
            <w:tcW w:w="992" w:type="dxa"/>
            <w:vAlign w:val="bottom"/>
          </w:tcPr>
          <w:p w:rsidR="00943AF7" w:rsidRPr="00165B41" w:rsidRDefault="00037185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73 694,50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3" w:type="dxa"/>
            <w:vAlign w:val="bottom"/>
          </w:tcPr>
          <w:p w:rsid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45 681,00</w:t>
            </w:r>
          </w:p>
        </w:tc>
        <w:tc>
          <w:tcPr>
            <w:tcW w:w="991" w:type="dxa"/>
            <w:vAlign w:val="bottom"/>
          </w:tcPr>
          <w:p w:rsidR="007D0357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45681,0</w:t>
            </w:r>
            <w:r w:rsidR="00DF71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</w:tcPr>
          <w:p w:rsidR="00943AF7" w:rsidRPr="002E0313" w:rsidRDefault="00943AF7" w:rsidP="00943AF7">
            <w:pPr>
              <w:rPr>
                <w:rFonts w:ascii="Times New Roman" w:hAnsi="Times New Roman"/>
                <w:b/>
                <w:bCs/>
                <w:color w:val="26282F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1.1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3" w:type="dxa"/>
            <w:vAlign w:val="bottom"/>
          </w:tcPr>
          <w:p w:rsidR="007D0357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36 000,00</w:t>
            </w:r>
          </w:p>
        </w:tc>
        <w:tc>
          <w:tcPr>
            <w:tcW w:w="991" w:type="dxa"/>
            <w:vAlign w:val="bottom"/>
          </w:tcPr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43AF7" w:rsidRPr="007D0357" w:rsidRDefault="007D0357" w:rsidP="007D035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36000,00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1.2</w:t>
            </w:r>
          </w:p>
        </w:tc>
        <w:tc>
          <w:tcPr>
            <w:tcW w:w="1277" w:type="dxa"/>
          </w:tcPr>
          <w:p w:rsidR="00943AF7" w:rsidRPr="00943AF7" w:rsidRDefault="00943AF7" w:rsidP="00943AF7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связанных с государственными праздниками, юбилейными и памятными датами  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1.3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120 000,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120000,00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1.4</w:t>
            </w: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spacing w:line="120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</w:t>
            </w:r>
            <w:r w:rsidRPr="00943AF7">
              <w:rPr>
                <w:rFonts w:ascii="Times New Roman" w:hAnsi="Times New Roman"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943AF7" w:rsidRDefault="00213714" w:rsidP="00213714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13714" w:rsidRPr="007D0357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312"/>
        </w:trPr>
        <w:tc>
          <w:tcPr>
            <w:tcW w:w="567" w:type="dxa"/>
            <w:vMerge w:val="restart"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1.5</w:t>
            </w: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</w:t>
            </w:r>
            <w:r w:rsidRPr="002E031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213714" w:rsidRPr="00D55D30" w:rsidTr="00DF7130">
        <w:trPr>
          <w:trHeight w:val="554"/>
        </w:trPr>
        <w:tc>
          <w:tcPr>
            <w:tcW w:w="567" w:type="dxa"/>
            <w:vMerge/>
            <w:vAlign w:val="center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13714" w:rsidRPr="002E0313" w:rsidRDefault="00213714" w:rsidP="00213714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770,00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vAlign w:val="bottom"/>
          </w:tcPr>
          <w:p w:rsidR="00213714" w:rsidRPr="00165B41" w:rsidRDefault="00037185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213714" w:rsidRPr="00165B41" w:rsidRDefault="00213714" w:rsidP="002137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213714" w:rsidRDefault="00213714" w:rsidP="00213714">
            <w:r w:rsidRPr="009A5232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участие в межмуниципальном сотрудничестве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312"/>
        </w:trPr>
        <w:tc>
          <w:tcPr>
            <w:tcW w:w="567" w:type="dxa"/>
            <w:vMerge/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 xml:space="preserve">бюджетные </w:t>
            </w:r>
            <w:r w:rsidRPr="002E0313">
              <w:rPr>
                <w:rFonts w:ascii="Times New Roman" w:hAnsi="Times New Roman"/>
              </w:rPr>
              <w:lastRenderedPageBreak/>
              <w:t>ассигнования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lastRenderedPageBreak/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9681,00</w:t>
            </w:r>
          </w:p>
        </w:tc>
      </w:tr>
      <w:tr w:rsidR="00943AF7" w:rsidRPr="00D55D30" w:rsidTr="00DF7130">
        <w:trPr>
          <w:trHeight w:val="131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43AF7" w:rsidRPr="002E0313" w:rsidRDefault="00943AF7" w:rsidP="00943AF7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7892,00</w:t>
            </w:r>
          </w:p>
        </w:tc>
        <w:tc>
          <w:tcPr>
            <w:tcW w:w="992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7108,00</w:t>
            </w:r>
          </w:p>
        </w:tc>
        <w:tc>
          <w:tcPr>
            <w:tcW w:w="1134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vAlign w:val="bottom"/>
          </w:tcPr>
          <w:p w:rsidR="00943AF7" w:rsidRPr="00165B41" w:rsidRDefault="00943AF7" w:rsidP="00943AF7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6746,00</w:t>
            </w:r>
          </w:p>
        </w:tc>
        <w:tc>
          <w:tcPr>
            <w:tcW w:w="992" w:type="dxa"/>
            <w:vAlign w:val="bottom"/>
          </w:tcPr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1482" w:rsidRDefault="00991482" w:rsidP="009914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6540,0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943AF7" w:rsidP="009914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8067,50</w:t>
            </w:r>
          </w:p>
          <w:p w:rsidR="00943AF7" w:rsidRPr="00165B41" w:rsidRDefault="00943AF7" w:rsidP="0099148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43AF7" w:rsidRPr="00165B41" w:rsidRDefault="007D0357" w:rsidP="00943AF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9681,00</w:t>
            </w:r>
          </w:p>
        </w:tc>
        <w:tc>
          <w:tcPr>
            <w:tcW w:w="993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  <w:tc>
          <w:tcPr>
            <w:tcW w:w="991" w:type="dxa"/>
            <w:vAlign w:val="bottom"/>
          </w:tcPr>
          <w:p w:rsidR="00943AF7" w:rsidRPr="00165B41" w:rsidRDefault="007D0357" w:rsidP="00943A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9681,0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1.6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1.7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2319,00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3835,60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D55D30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публикации в средствах массовой информации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1.8</w:t>
            </w: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46 546,08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1.9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36592" w:rsidRPr="002E0313" w:rsidTr="00DF7130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92" w:rsidRPr="002E0313" w:rsidRDefault="00636592" w:rsidP="00636592">
            <w:pPr>
              <w:rPr>
                <w:rFonts w:ascii="Times New Roman" w:hAnsi="Times New Roman"/>
              </w:rPr>
            </w:pPr>
            <w:r w:rsidRPr="002E0313">
              <w:rPr>
                <w:rFonts w:ascii="Times New Roman" w:hAnsi="Times New Roman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3877,65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Pr="00165B41" w:rsidRDefault="00636592" w:rsidP="006365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592" w:rsidRDefault="00636592" w:rsidP="00636592">
            <w:r w:rsidRPr="00ED6D3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6D0C95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165B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29 627,00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104D1A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37185" w:rsidRPr="002E0313" w:rsidTr="00DF7130">
        <w:trPr>
          <w:trHeight w:val="3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185" w:rsidRPr="002E0313" w:rsidRDefault="00037185" w:rsidP="00037185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85" w:rsidRPr="00943AF7" w:rsidRDefault="00037185" w:rsidP="00037185">
            <w:pPr>
              <w:rPr>
                <w:rFonts w:ascii="Times New Roman" w:hAnsi="Times New Roman"/>
                <w:sz w:val="20"/>
                <w:szCs w:val="20"/>
              </w:rPr>
            </w:pPr>
            <w:r w:rsidRPr="00943AF7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E3455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165B41" w:rsidRDefault="00037185" w:rsidP="000371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65B41">
              <w:rPr>
                <w:rFonts w:ascii="Times New Roman" w:eastAsia="Calibri" w:hAnsi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185" w:rsidRPr="00ED6D36" w:rsidRDefault="00037185" w:rsidP="00037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707F36" w:rsidRDefault="00707F36"/>
    <w:sectPr w:rsidR="0070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96" w:rsidRDefault="00365696" w:rsidP="00151C2B">
      <w:r>
        <w:separator/>
      </w:r>
    </w:p>
  </w:endnote>
  <w:endnote w:type="continuationSeparator" w:id="0">
    <w:p w:rsidR="00365696" w:rsidRDefault="00365696" w:rsidP="001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96" w:rsidRDefault="00365696" w:rsidP="00151C2B">
      <w:r>
        <w:separator/>
      </w:r>
    </w:p>
  </w:footnote>
  <w:footnote w:type="continuationSeparator" w:id="0">
    <w:p w:rsidR="00365696" w:rsidRDefault="00365696" w:rsidP="001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F"/>
    <w:rsid w:val="00037185"/>
    <w:rsid w:val="00042347"/>
    <w:rsid w:val="00054102"/>
    <w:rsid w:val="000C0A6F"/>
    <w:rsid w:val="000D6DE7"/>
    <w:rsid w:val="000E142E"/>
    <w:rsid w:val="00104D1A"/>
    <w:rsid w:val="00151C2B"/>
    <w:rsid w:val="00165B41"/>
    <w:rsid w:val="001A6165"/>
    <w:rsid w:val="001D234D"/>
    <w:rsid w:val="00200B69"/>
    <w:rsid w:val="00213714"/>
    <w:rsid w:val="002A1968"/>
    <w:rsid w:val="00324BD2"/>
    <w:rsid w:val="00365696"/>
    <w:rsid w:val="0044467E"/>
    <w:rsid w:val="005621E1"/>
    <w:rsid w:val="005756E0"/>
    <w:rsid w:val="00593B23"/>
    <w:rsid w:val="00636592"/>
    <w:rsid w:val="00695BA0"/>
    <w:rsid w:val="006D0C95"/>
    <w:rsid w:val="00707F36"/>
    <w:rsid w:val="0072148E"/>
    <w:rsid w:val="007220C9"/>
    <w:rsid w:val="00725465"/>
    <w:rsid w:val="00734AC5"/>
    <w:rsid w:val="00777072"/>
    <w:rsid w:val="007C6E9B"/>
    <w:rsid w:val="007D0357"/>
    <w:rsid w:val="007D15B3"/>
    <w:rsid w:val="00827F56"/>
    <w:rsid w:val="008D02A2"/>
    <w:rsid w:val="008F5791"/>
    <w:rsid w:val="00943AF7"/>
    <w:rsid w:val="00952C69"/>
    <w:rsid w:val="00952E9C"/>
    <w:rsid w:val="0098708F"/>
    <w:rsid w:val="00991482"/>
    <w:rsid w:val="00996217"/>
    <w:rsid w:val="009C6044"/>
    <w:rsid w:val="00B311E0"/>
    <w:rsid w:val="00B50CCB"/>
    <w:rsid w:val="00BE755B"/>
    <w:rsid w:val="00C15D7C"/>
    <w:rsid w:val="00C40948"/>
    <w:rsid w:val="00C62A39"/>
    <w:rsid w:val="00C9398C"/>
    <w:rsid w:val="00D712DC"/>
    <w:rsid w:val="00DA6810"/>
    <w:rsid w:val="00DD7558"/>
    <w:rsid w:val="00DF7130"/>
    <w:rsid w:val="00E34555"/>
    <w:rsid w:val="00E54928"/>
    <w:rsid w:val="00E974C0"/>
    <w:rsid w:val="00EC1F50"/>
    <w:rsid w:val="00EF2EAB"/>
    <w:rsid w:val="00F0047D"/>
    <w:rsid w:val="00F311A3"/>
    <w:rsid w:val="00F408F6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C75D-EC4E-4630-B989-BC03B5F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0A6F"/>
    <w:pPr>
      <w:keepNext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A6F"/>
    <w:pPr>
      <w:keepNext/>
      <w:widowControl w:val="0"/>
      <w:autoSpaceDE w:val="0"/>
      <w:autoSpaceDN w:val="0"/>
      <w:spacing w:before="240" w:after="60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0A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6F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A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0A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rsid w:val="000C0A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C0A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C0A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0A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0C0A6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0C0A6F"/>
    <w:pPr>
      <w:widowControl w:val="0"/>
      <w:suppressAutoHyphens/>
      <w:autoSpaceDE w:val="0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0C0A6F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0A6F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0C0A6F"/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0C0A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0C0A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0C0A6F"/>
  </w:style>
  <w:style w:type="paragraph" w:styleId="aa">
    <w:name w:val="No Spacing"/>
    <w:uiPriority w:val="1"/>
    <w:qFormat/>
    <w:rsid w:val="000C0A6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C0A6F"/>
  </w:style>
  <w:style w:type="paragraph" w:customStyle="1" w:styleId="consplusnormal0">
    <w:name w:val="consplusnorma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0C0A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0C0A6F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C0A6F"/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0C0A6F"/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0C0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0C0A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0C0A6F"/>
    <w:pPr>
      <w:suppressAutoHyphens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0C0A6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0C0A6F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C0A6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C0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0C0A6F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0C0A6F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0C0A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0C0A6F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0C0A6F"/>
    <w:pPr>
      <w:widowControl w:val="0"/>
      <w:autoSpaceDE w:val="0"/>
      <w:autoSpaceDN w:val="0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0C0A6F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0C0A6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0C0A6F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0C0A6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C0A6F"/>
    <w:pPr>
      <w:tabs>
        <w:tab w:val="center" w:pos="4677"/>
        <w:tab w:val="right" w:pos="9355"/>
      </w:tabs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0C0A6F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0C0A6F"/>
    <w:pPr>
      <w:spacing w:before="40" w:after="40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0C0A6F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0C0A6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0C0A6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0C0A6F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0C0A6F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0C0A6F"/>
    <w:pPr>
      <w:tabs>
        <w:tab w:val="center" w:pos="4677"/>
        <w:tab w:val="right" w:pos="9355"/>
      </w:tabs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0C0A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0C0A6F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0C0A6F"/>
    <w:rPr>
      <w:i/>
      <w:iCs/>
    </w:rPr>
  </w:style>
  <w:style w:type="paragraph" w:customStyle="1" w:styleId="15">
    <w:name w:val="1"/>
    <w:basedOn w:val="a"/>
    <w:rsid w:val="000C0A6F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0C0A6F"/>
    <w:pPr>
      <w:spacing w:after="120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C0A6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ABED-8963-4F2F-B9E3-FE1AC0D4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26</cp:revision>
  <cp:lastPrinted>2021-11-15T09:19:00Z</cp:lastPrinted>
  <dcterms:created xsi:type="dcterms:W3CDTF">2021-11-01T07:56:00Z</dcterms:created>
  <dcterms:modified xsi:type="dcterms:W3CDTF">2022-10-26T09:40:00Z</dcterms:modified>
</cp:coreProperties>
</file>