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0C0A6F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0C0A6F" w:rsidRPr="00EF4C4A" w:rsidRDefault="000C0A6F" w:rsidP="000C0A6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0C0A6F" w:rsidRPr="00EF4C4A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0C0A6F" w:rsidRDefault="000C0A6F" w:rsidP="000C0A6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C0A6F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A6F" w:rsidRPr="00BF205D" w:rsidRDefault="000C0A6F" w:rsidP="000C0A6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0C0A6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0C0A6F" w:rsidRPr="00BF205D" w:rsidRDefault="000C0A6F" w:rsidP="000C0A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5A5F5B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proofErr w:type="gramStart"/>
            <w:r w:rsidRPr="005A5F5B">
              <w:t>Иные  мероприятия</w:t>
            </w:r>
            <w:proofErr w:type="gramEnd"/>
            <w:r w:rsidRPr="005A5F5B"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821 152,00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</w:t>
            </w:r>
            <w:r w:rsidR="00B50CCB">
              <w:rPr>
                <w:rFonts w:ascii="Times New Roman" w:hAnsi="Times New Roman"/>
                <w:sz w:val="24"/>
                <w:szCs w:val="24"/>
              </w:rPr>
              <w:t xml:space="preserve">   1 01</w:t>
            </w:r>
            <w:r w:rsidR="00B50CCB" w:rsidRPr="00B50CCB">
              <w:rPr>
                <w:rFonts w:ascii="Times New Roman" w:hAnsi="Times New Roman"/>
                <w:sz w:val="24"/>
                <w:szCs w:val="24"/>
              </w:rPr>
              <w:t>2</w:t>
            </w:r>
            <w:r w:rsidR="00B50CCB">
              <w:rPr>
                <w:rFonts w:ascii="Times New Roman" w:hAnsi="Times New Roman"/>
                <w:sz w:val="24"/>
                <w:szCs w:val="24"/>
              </w:rPr>
              <w:t> 1</w:t>
            </w:r>
            <w:r w:rsidR="00200B69">
              <w:rPr>
                <w:rFonts w:ascii="Times New Roman" w:hAnsi="Times New Roman"/>
                <w:sz w:val="24"/>
                <w:szCs w:val="24"/>
              </w:rPr>
              <w:t>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3 835,60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EC1411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795 715,00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979 117,76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820 382,00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9398C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 w:rsidR="00B50CCB">
              <w:rPr>
                <w:rFonts w:ascii="Times New Roman" w:hAnsi="Times New Roman"/>
                <w:sz w:val="24"/>
                <w:szCs w:val="24"/>
              </w:rPr>
              <w:t>–  1</w:t>
            </w:r>
            <w:proofErr w:type="gramEnd"/>
            <w:r w:rsidR="00B50CCB">
              <w:rPr>
                <w:rFonts w:ascii="Times New Roman" w:hAnsi="Times New Roman"/>
                <w:sz w:val="24"/>
                <w:szCs w:val="24"/>
              </w:rPr>
              <w:t xml:space="preserve"> 012 </w:t>
            </w:r>
            <w:r w:rsidR="00B50C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00B69">
              <w:rPr>
                <w:rFonts w:ascii="Times New Roman" w:hAnsi="Times New Roman"/>
                <w:sz w:val="24"/>
                <w:szCs w:val="24"/>
              </w:rPr>
              <w:t>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 0,00 рублей.</w:t>
            </w:r>
          </w:p>
        </w:tc>
      </w:tr>
    </w:tbl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1333B5">
        <w:rPr>
          <w:rFonts w:ascii="Times New Roman" w:hAnsi="Times New Roman"/>
          <w:sz w:val="28"/>
          <w:szCs w:val="24"/>
        </w:rPr>
        <w:t>Федерации  на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1333B5">
        <w:rPr>
          <w:rFonts w:ascii="Times New Roman" w:hAnsi="Times New Roman"/>
          <w:sz w:val="28"/>
          <w:szCs w:val="24"/>
        </w:rPr>
        <w:t>Основная  стратегическая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части  бюджета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  рассматриваются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обращениях,  даются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lastRenderedPageBreak/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C0A6F" w:rsidRPr="005A5F5B" w:rsidTr="00165B41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C0A6F" w:rsidRPr="000A3479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C0A6F" w:rsidRPr="005A5F5B" w:rsidTr="00165B41">
        <w:trPr>
          <w:cantSplit/>
          <w:trHeight w:val="142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5A5F5B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BB346D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0A3479" w:rsidRDefault="000C0A6F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A6F" w:rsidRPr="005A5F5B" w:rsidTr="00165B41">
        <w:trPr>
          <w:cantSplit/>
          <w:trHeight w:val="1067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C0A6F" w:rsidRPr="00D66E1C" w:rsidRDefault="000C0A6F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0A6F" w:rsidRPr="005A5F5B" w:rsidTr="00165B41">
        <w:trPr>
          <w:cantSplit/>
          <w:trHeight w:val="1448"/>
        </w:trPr>
        <w:tc>
          <w:tcPr>
            <w:tcW w:w="610" w:type="dxa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C0A6F" w:rsidRPr="005A5F5B" w:rsidTr="00165B41">
        <w:trPr>
          <w:cantSplit/>
          <w:trHeight w:val="915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C0A6F" w:rsidRPr="005A5F5B" w:rsidTr="00165B41">
        <w:trPr>
          <w:cantSplit/>
          <w:trHeight w:val="1219"/>
        </w:trPr>
        <w:tc>
          <w:tcPr>
            <w:tcW w:w="610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C0A6F" w:rsidRPr="00D66E1C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D66E1C" w:rsidRDefault="000C0A6F" w:rsidP="00165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C0A6F" w:rsidRPr="00D66E1C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D66E1C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BB346D" w:rsidRDefault="000C0A6F" w:rsidP="00165B4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0A6F" w:rsidRDefault="000C0A6F" w:rsidP="00165B4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A6F" w:rsidRPr="000A3479" w:rsidRDefault="000C0A6F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AA6A50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B50CCB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2021г.-  968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00B69">
              <w:rPr>
                <w:rFonts w:ascii="Times New Roman" w:hAnsi="Times New Roman"/>
                <w:sz w:val="24"/>
                <w:szCs w:val="24"/>
              </w:rPr>
              <w:t>67,76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932 435,26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7B42D8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 588 255,58</w:t>
            </w:r>
            <w:r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B50CCB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968 0</w:t>
            </w:r>
            <w:r w:rsidR="00200B69">
              <w:rPr>
                <w:rFonts w:ascii="Times New Roman" w:hAnsi="Times New Roman"/>
                <w:sz w:val="24"/>
                <w:szCs w:val="24"/>
              </w:rPr>
              <w:t>67,76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 рублей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proofErr w:type="gramStart"/>
      <w:r w:rsidRPr="001333B5">
        <w:rPr>
          <w:sz w:val="28"/>
        </w:rPr>
        <w:t>начислениями  главе</w:t>
      </w:r>
      <w:proofErr w:type="gramEnd"/>
      <w:r w:rsidRPr="001333B5">
        <w:rPr>
          <w:sz w:val="28"/>
        </w:rPr>
        <w:t xml:space="preserve">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1333B5">
        <w:rPr>
          <w:rFonts w:ascii="Times New Roman" w:hAnsi="Times New Roman"/>
          <w:sz w:val="28"/>
          <w:szCs w:val="24"/>
        </w:rPr>
        <w:t>деятельности  Совета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0C0A6F" w:rsidRPr="005A5F5B" w:rsidTr="00165B41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0C0A6F" w:rsidRPr="005A5F5B" w:rsidTr="00165B41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444F66" w:rsidRDefault="000C0A6F" w:rsidP="00165B41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0C0A6F" w:rsidRPr="00590AE9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0C0A6F" w:rsidRPr="005A5F5B" w:rsidRDefault="000C0A6F" w:rsidP="00165B41">
            <w:pPr>
              <w:spacing w:after="160" w:line="259" w:lineRule="auto"/>
            </w:pPr>
            <w:r>
              <w:t>2023год</w:t>
            </w:r>
          </w:p>
        </w:tc>
      </w:tr>
      <w:tr w:rsidR="000C0A6F" w:rsidRPr="005A5F5B" w:rsidTr="00165B41">
        <w:trPr>
          <w:trHeight w:val="6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Default="000C0A6F" w:rsidP="00165B41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pStyle w:val="ConsPlusNormal"/>
              <w:rPr>
                <w:b/>
                <w:sz w:val="24"/>
                <w:szCs w:val="24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Default="000C0A6F" w:rsidP="00165B41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100</w:t>
            </w:r>
          </w:p>
        </w:tc>
      </w:tr>
      <w:tr w:rsidR="000C0A6F" w:rsidRPr="005A5F5B" w:rsidTr="00165B41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0C0A6F" w:rsidRDefault="000C0A6F" w:rsidP="00165B41">
            <w:pPr>
              <w:spacing w:after="160" w:line="259" w:lineRule="auto"/>
            </w:pPr>
          </w:p>
          <w:p w:rsidR="000C0A6F" w:rsidRPr="008A4DB8" w:rsidRDefault="000C0A6F" w:rsidP="00165B41">
            <w:r>
              <w:t>0</w:t>
            </w:r>
          </w:p>
        </w:tc>
      </w:tr>
    </w:tbl>
    <w:p w:rsidR="000C0A6F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0C0A6F" w:rsidRPr="005A5F5B" w:rsidTr="00165B41">
        <w:trPr>
          <w:trHeight w:val="825"/>
        </w:trPr>
        <w:tc>
          <w:tcPr>
            <w:tcW w:w="97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C0A6F" w:rsidRPr="005A5F5B" w:rsidRDefault="000C0A6F" w:rsidP="00165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trHeight w:val="354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B50CCB" w:rsidP="0056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968 0</w:t>
            </w:r>
            <w:r w:rsidR="00200B69">
              <w:rPr>
                <w:b/>
              </w:rPr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207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B50CCB" w:rsidP="00165B41">
            <w:pPr>
              <w:widowControl w:val="0"/>
            </w:pPr>
            <w:r>
              <w:t>968 0</w:t>
            </w:r>
            <w:r w:rsidR="00200B69"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595"/>
        </w:trPr>
        <w:tc>
          <w:tcPr>
            <w:tcW w:w="4503" w:type="dxa"/>
            <w:gridSpan w:val="2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B50CCB" w:rsidP="00165B41">
            <w:pPr>
              <w:widowControl w:val="0"/>
              <w:jc w:val="center"/>
            </w:pPr>
            <w:r>
              <w:t>968 0</w:t>
            </w:r>
            <w:r w:rsidR="00200B69"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0C0A6F" w:rsidRPr="00596FAF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588 255,58</w:t>
            </w:r>
          </w:p>
        </w:tc>
        <w:tc>
          <w:tcPr>
            <w:tcW w:w="1417" w:type="dxa"/>
          </w:tcPr>
          <w:p w:rsidR="000C0A6F" w:rsidRPr="005A1224" w:rsidRDefault="00B50CCB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968 0</w:t>
            </w:r>
            <w:r w:rsidR="00200B69">
              <w:rPr>
                <w:b/>
              </w:rPr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A1224" w:rsidRDefault="000C0A6F" w:rsidP="00165B41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0C0A6F" w:rsidRPr="005A1224" w:rsidRDefault="00165B41" w:rsidP="00165B41">
            <w:pPr>
              <w:widowControl w:val="0"/>
              <w:jc w:val="center"/>
            </w:pPr>
            <w:r>
              <w:t>588 255,58</w:t>
            </w:r>
          </w:p>
        </w:tc>
        <w:tc>
          <w:tcPr>
            <w:tcW w:w="1417" w:type="dxa"/>
          </w:tcPr>
          <w:p w:rsidR="000C0A6F" w:rsidRPr="005A1224" w:rsidRDefault="00B50CCB" w:rsidP="00165B41">
            <w:pPr>
              <w:widowControl w:val="0"/>
              <w:jc w:val="center"/>
            </w:pPr>
            <w:r>
              <w:t>968 0</w:t>
            </w:r>
            <w:r w:rsidR="00200B69"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0C0A6F" w:rsidRPr="006A5CDA" w:rsidRDefault="00165B41" w:rsidP="00165B41">
            <w:pPr>
              <w:widowControl w:val="0"/>
            </w:pPr>
            <w:r>
              <w:t>588 255,58</w:t>
            </w:r>
          </w:p>
        </w:tc>
        <w:tc>
          <w:tcPr>
            <w:tcW w:w="1417" w:type="dxa"/>
          </w:tcPr>
          <w:p w:rsidR="000C0A6F" w:rsidRPr="006A5CDA" w:rsidRDefault="00B50CCB" w:rsidP="00165B41">
            <w:pPr>
              <w:widowControl w:val="0"/>
            </w:pPr>
            <w:r>
              <w:t>968 0</w:t>
            </w:r>
            <w:r w:rsidR="00200B69">
              <w:t>67,76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</w:pPr>
            <w:r>
              <w:t>932 435,26</w:t>
            </w:r>
          </w:p>
        </w:tc>
      </w:tr>
      <w:tr w:rsidR="000C0A6F" w:rsidRPr="005A5F5B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0C0A6F" w:rsidRPr="006A5CDA" w:rsidRDefault="000C0A6F" w:rsidP="00165B4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50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0C0A6F" w:rsidRPr="006A5CDA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0C0A6F" w:rsidRPr="005A1224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0C0A6F" w:rsidRDefault="000C0A6F" w:rsidP="00165B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 w:val="restart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0C0A6F" w:rsidRPr="005D6F2F" w:rsidRDefault="000C0A6F" w:rsidP="0016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B50CCB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260 100.</w:t>
            </w:r>
            <w:r w:rsidR="00200B69">
              <w:rPr>
                <w:rFonts w:ascii="Times New Roman" w:hAnsi="Times New Roman"/>
                <w:b/>
                <w:bCs/>
                <w:color w:val="26282F"/>
              </w:rPr>
              <w:t>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267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B50CCB" w:rsidP="00B50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260 1</w:t>
            </w:r>
            <w:r w:rsidR="00200B69">
              <w:rPr>
                <w:rFonts w:ascii="Times New Roman" w:hAnsi="Times New Roman"/>
                <w:b/>
                <w:bCs/>
                <w:color w:val="26282F"/>
              </w:rPr>
              <w:t>00,26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0C0A6F" w:rsidRPr="005D6F2F" w:rsidTr="00165B41">
        <w:trPr>
          <w:trHeight w:val="306"/>
        </w:trPr>
        <w:tc>
          <w:tcPr>
            <w:tcW w:w="974" w:type="dxa"/>
            <w:vMerge/>
            <w:vAlign w:val="center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0C0A6F" w:rsidRPr="005D6F2F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0C0A6F" w:rsidRPr="005D6F2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0C0A6F" w:rsidRDefault="00165B41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0C0A6F" w:rsidRDefault="00B50CCB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260 1</w:t>
            </w:r>
            <w:bookmarkStart w:id="0" w:name="_GoBack"/>
            <w:bookmarkEnd w:id="0"/>
            <w:r w:rsidR="00200B69">
              <w:rPr>
                <w:rFonts w:ascii="Times New Roman" w:hAnsi="Times New Roman"/>
                <w:b/>
                <w:bCs/>
                <w:color w:val="26282F"/>
              </w:rPr>
              <w:t>00,26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0C0A6F" w:rsidRDefault="000C0A6F" w:rsidP="000C0A6F">
      <w:pPr>
        <w:spacing w:after="0" w:line="240" w:lineRule="auto"/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proofErr w:type="gramStart"/>
      <w:r w:rsidRPr="001333B5">
        <w:rPr>
          <w:rFonts w:ascii="Times New Roman" w:hAnsi="Times New Roman"/>
          <w:b/>
          <w:sz w:val="28"/>
          <w:szCs w:val="24"/>
        </w:rPr>
        <w:t>Иные  мероприятия</w:t>
      </w:r>
      <w:proofErr w:type="gramEnd"/>
      <w:r w:rsidRPr="001333B5">
        <w:rPr>
          <w:rFonts w:ascii="Times New Roman" w:hAnsi="Times New Roman"/>
          <w:b/>
          <w:sz w:val="28"/>
          <w:szCs w:val="24"/>
        </w:rPr>
        <w:t xml:space="preserve"> в области муниципального управления»</w:t>
      </w:r>
    </w:p>
    <w:p w:rsidR="000C0A6F" w:rsidRPr="001333B5" w:rsidRDefault="000C0A6F" w:rsidP="000C0A6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5F5B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8E2670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.- 393 340,00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</w:t>
            </w:r>
            <w:r w:rsidR="00200B69">
              <w:rPr>
                <w:rFonts w:ascii="Times New Roman" w:hAnsi="Times New Roman"/>
                <w:sz w:val="24"/>
                <w:szCs w:val="24"/>
              </w:rPr>
              <w:t>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65B41">
              <w:rPr>
                <w:rFonts w:ascii="Times New Roman" w:hAnsi="Times New Roman"/>
                <w:sz w:val="24"/>
                <w:szCs w:val="24"/>
              </w:rPr>
              <w:t>.- 393 340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5621E1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2021г.- 44 067,50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2022г.- 44 000,00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2023г.- 44 000,00 рублей</w:t>
            </w:r>
          </w:p>
          <w:p w:rsidR="000C0A6F" w:rsidRPr="006D02E6" w:rsidRDefault="000C0A6F" w:rsidP="00165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0C0A6F" w:rsidP="00165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службы  администрации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</w:t>
      </w:r>
    </w:p>
    <w:p w:rsidR="000C0A6F" w:rsidRPr="001333B5" w:rsidRDefault="000C0A6F" w:rsidP="000C0A6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1333B5">
        <w:rPr>
          <w:rFonts w:ascii="Times New Roman" w:hAnsi="Times New Roman"/>
          <w:sz w:val="28"/>
          <w:szCs w:val="24"/>
        </w:rPr>
        <w:t>Выплата  производится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9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01"/>
        <w:gridCol w:w="659"/>
        <w:gridCol w:w="759"/>
        <w:gridCol w:w="709"/>
        <w:gridCol w:w="708"/>
        <w:gridCol w:w="741"/>
        <w:gridCol w:w="819"/>
        <w:gridCol w:w="850"/>
        <w:gridCol w:w="851"/>
        <w:gridCol w:w="850"/>
        <w:gridCol w:w="236"/>
      </w:tblGrid>
      <w:tr w:rsidR="000C0A6F" w:rsidRPr="005A5F5B" w:rsidTr="00165B41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9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A6F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0C0A6F" w:rsidRPr="005A5F5B" w:rsidTr="00165B41">
        <w:trPr>
          <w:cantSplit/>
          <w:trHeight w:val="789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7" w:type="dxa"/>
            <w:gridSpan w:val="9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C0A6F" w:rsidRPr="009C2817" w:rsidRDefault="000C0A6F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0C0A6F" w:rsidRPr="009C2817" w:rsidRDefault="000C0A6F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A6F" w:rsidRPr="005A5F5B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Default="00165B41" w:rsidP="00165B41">
            <w:pPr>
              <w:jc w:val="center"/>
              <w:rPr>
                <w:lang w:eastAsia="ru-RU"/>
              </w:rPr>
            </w:pPr>
          </w:p>
          <w:p w:rsidR="00165B41" w:rsidRDefault="00165B41" w:rsidP="00165B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0A6F" w:rsidRPr="00165B41" w:rsidRDefault="000C0A6F" w:rsidP="00165B41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Default="00165B41" w:rsidP="001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3307E3" w:rsidRDefault="00165B41" w:rsidP="00165B4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0A6F" w:rsidRPr="00165B41" w:rsidTr="00165B41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01" w:type="dxa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vAlign w:val="center"/>
          </w:tcPr>
          <w:p w:rsidR="000C0A6F" w:rsidRPr="005A5F5B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C0A6F" w:rsidRPr="00165B41" w:rsidRDefault="000C0A6F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5B41" w:rsidRPr="00165B41" w:rsidRDefault="00165B41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165B41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</w:p>
          <w:p w:rsidR="000C0A6F" w:rsidRPr="00165B41" w:rsidRDefault="00165B41" w:rsidP="00165B41">
            <w:pPr>
              <w:rPr>
                <w:rFonts w:ascii="Times New Roman" w:hAnsi="Times New Roman"/>
                <w:lang w:eastAsia="ru-RU"/>
              </w:rPr>
            </w:pPr>
            <w:r w:rsidRPr="00165B41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92"/>
        <w:gridCol w:w="1276"/>
        <w:gridCol w:w="992"/>
        <w:gridCol w:w="1134"/>
        <w:gridCol w:w="993"/>
      </w:tblGrid>
      <w:tr w:rsidR="000C0A6F" w:rsidRPr="005A5F5B" w:rsidTr="00777072">
        <w:trPr>
          <w:trHeight w:val="841"/>
        </w:trPr>
        <w:tc>
          <w:tcPr>
            <w:tcW w:w="426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C0A6F" w:rsidRPr="005A5F5B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0C0A6F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0C0A6F" w:rsidRPr="00D55D30" w:rsidTr="00777072">
        <w:trPr>
          <w:trHeight w:val="312"/>
        </w:trPr>
        <w:tc>
          <w:tcPr>
            <w:tcW w:w="2553" w:type="dxa"/>
            <w:gridSpan w:val="2"/>
          </w:tcPr>
          <w:p w:rsidR="000C0A6F" w:rsidRPr="002E0313" w:rsidRDefault="000C0A6F" w:rsidP="00165B41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0A6F" w:rsidRPr="00165B41" w:rsidRDefault="000C0A6F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0C0A6F" w:rsidRPr="00165B41" w:rsidRDefault="00777072" w:rsidP="0016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0C0A6F" w:rsidRPr="00165B41" w:rsidRDefault="005621E1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44 067,50</w:t>
            </w:r>
          </w:p>
        </w:tc>
        <w:tc>
          <w:tcPr>
            <w:tcW w:w="1134" w:type="dxa"/>
          </w:tcPr>
          <w:p w:rsidR="000C0A6F" w:rsidRPr="00165B41" w:rsidRDefault="000C0A6F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0C0A6F" w:rsidRPr="00165B41" w:rsidRDefault="00777072" w:rsidP="00165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278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607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520"/>
        </w:trPr>
        <w:tc>
          <w:tcPr>
            <w:tcW w:w="2553" w:type="dxa"/>
            <w:gridSpan w:val="2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Создание условий для проведения иных мероприятий </w:t>
            </w:r>
            <w:r w:rsidRPr="002E0313">
              <w:rPr>
                <w:rFonts w:ascii="Times New Roman" w:hAnsi="Times New Roman"/>
              </w:rPr>
              <w:lastRenderedPageBreak/>
              <w:t>в области муниципального 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07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5621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44000,00</w:t>
            </w:r>
          </w:p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 w:val="restart"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554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845,00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7072" w:rsidRPr="00165B41" w:rsidRDefault="005621E1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D55D30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777072" w:rsidRPr="002E0313" w:rsidTr="00777072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2E0313" w:rsidRDefault="00777072" w:rsidP="00777072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2" w:rsidRPr="00165B41" w:rsidRDefault="00777072" w:rsidP="007770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C0A6F"/>
    <w:rsid w:val="00165B41"/>
    <w:rsid w:val="00200B69"/>
    <w:rsid w:val="002A1968"/>
    <w:rsid w:val="005621E1"/>
    <w:rsid w:val="00707F36"/>
    <w:rsid w:val="00777072"/>
    <w:rsid w:val="00952C69"/>
    <w:rsid w:val="00B50CCB"/>
    <w:rsid w:val="00C9398C"/>
    <w:rsid w:val="00F0047D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12</cp:revision>
  <cp:lastPrinted>2020-12-10T07:55:00Z</cp:lastPrinted>
  <dcterms:created xsi:type="dcterms:W3CDTF">2020-12-09T07:16:00Z</dcterms:created>
  <dcterms:modified xsi:type="dcterms:W3CDTF">2021-06-24T09:27:00Z</dcterms:modified>
</cp:coreProperties>
</file>