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CB" w:rsidRPr="00B45F71" w:rsidRDefault="00C563CB" w:rsidP="00C563CB">
      <w:pPr>
        <w:pStyle w:val="1"/>
        <w:spacing w:line="360" w:lineRule="auto"/>
        <w:jc w:val="left"/>
        <w:rPr>
          <w:sz w:val="24"/>
          <w:szCs w:val="24"/>
        </w:rPr>
      </w:pPr>
      <w:r>
        <w:rPr>
          <w:rFonts w:eastAsiaTheme="minorEastAsia"/>
          <w:b w:val="0"/>
          <w:color w:val="FF0000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A782CB5" wp14:editId="4F58004F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</w:t>
      </w:r>
    </w:p>
    <w:p w:rsidR="00C563CB" w:rsidRDefault="00C563CB" w:rsidP="00C563CB">
      <w:pPr>
        <w:pStyle w:val="1"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ПОСТАНОВЛЕНИЕ</w:t>
      </w:r>
    </w:p>
    <w:p w:rsidR="00C563CB" w:rsidRPr="00C85360" w:rsidRDefault="00C563CB" w:rsidP="00C563CB">
      <w:pPr>
        <w:pStyle w:val="1"/>
        <w:rPr>
          <w:b w:val="0"/>
          <w:sz w:val="28"/>
          <w:szCs w:val="28"/>
        </w:rPr>
      </w:pPr>
      <w:r w:rsidRPr="00C85360">
        <w:rPr>
          <w:b w:val="0"/>
          <w:sz w:val="28"/>
          <w:szCs w:val="28"/>
        </w:rPr>
        <w:t>Администрации Пестяковского муниципального района</w:t>
      </w:r>
    </w:p>
    <w:p w:rsidR="00C563CB" w:rsidRPr="00E0610C" w:rsidRDefault="00C563CB" w:rsidP="00E061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360">
        <w:rPr>
          <w:rFonts w:ascii="Times New Roman" w:hAnsi="Times New Roman" w:cs="Times New Roman"/>
          <w:sz w:val="28"/>
          <w:szCs w:val="28"/>
        </w:rPr>
        <w:t>Ивановской  области</w:t>
      </w:r>
    </w:p>
    <w:p w:rsidR="00C563CB" w:rsidRPr="005712CC" w:rsidRDefault="00C563CB" w:rsidP="005712CC">
      <w:pPr>
        <w:spacing w:after="0" w:line="240" w:lineRule="auto"/>
        <w:ind w:right="2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663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C5ED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E663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C5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EA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564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C5EDC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bookmarkStart w:id="0" w:name="_GoBack"/>
      <w:bookmarkEnd w:id="0"/>
      <w:r w:rsidRPr="005C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C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Пестяки</w:t>
      </w:r>
    </w:p>
    <w:p w:rsidR="00C563CB" w:rsidRDefault="00C563CB" w:rsidP="00C5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D4" w:rsidRDefault="004B50D4" w:rsidP="00C5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3CB" w:rsidRPr="000543B6" w:rsidRDefault="00C563CB" w:rsidP="00C5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A1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УСТАНОВЛЕНИИ ДИЗАЙН-КОДА </w:t>
      </w:r>
      <w:r w:rsidRPr="00DF0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1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РАЗМЕЩЕНИЮ НЕСТАЦИОНАРНЫХ ТОРГОВЫХ ОБЪЕКТОВ</w:t>
      </w:r>
    </w:p>
    <w:p w:rsidR="004B50D4" w:rsidRPr="00DF0F4D" w:rsidRDefault="004B50D4" w:rsidP="00E95D17">
      <w:pPr>
        <w:spacing w:after="0" w:line="240" w:lineRule="auto"/>
        <w:ind w:right="6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3CB" w:rsidRPr="0023046F" w:rsidRDefault="00EA1E5B" w:rsidP="009112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5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руководствуясь Устав</w:t>
      </w:r>
      <w:r w:rsidR="00E0420B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ом Пестяковского муниципального района</w:t>
      </w:r>
      <w:r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,</w:t>
      </w:r>
      <w:r w:rsidRPr="00EA1E5B">
        <w:rPr>
          <w:rFonts w:ascii="Times New Roman" w:eastAsia="Times New Roman" w:hAnsi="Times New Roman" w:cs="Tahoma"/>
          <w:color w:val="FF0000"/>
          <w:sz w:val="28"/>
          <w:szCs w:val="28"/>
          <w:lang w:eastAsia="ru-RU"/>
        </w:rPr>
        <w:t xml:space="preserve"> </w:t>
      </w:r>
      <w:r w:rsidRPr="0091124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пунктом </w:t>
      </w:r>
      <w:r w:rsidR="0091124F" w:rsidRPr="0091124F">
        <w:rPr>
          <w:rFonts w:ascii="Times New Roman" w:eastAsia="Times New Roman" w:hAnsi="Times New Roman" w:cs="Tahoma"/>
          <w:sz w:val="28"/>
          <w:szCs w:val="28"/>
          <w:lang w:eastAsia="ru-RU"/>
        </w:rPr>
        <w:t>5.7 П</w:t>
      </w:r>
      <w:r w:rsidRPr="0091124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равил благоустройства </w:t>
      </w:r>
      <w:r w:rsidR="0091124F" w:rsidRPr="0091124F">
        <w:rPr>
          <w:rFonts w:ascii="Times New Roman" w:eastAsia="Times New Roman" w:hAnsi="Times New Roman" w:cs="Tahoma"/>
          <w:sz w:val="28"/>
          <w:szCs w:val="28"/>
          <w:lang w:eastAsia="ru-RU"/>
        </w:rPr>
        <w:t>территории Пестяковского городского поселения Пестяковского муниципального района</w:t>
      </w:r>
      <w:r w:rsidRPr="0091124F">
        <w:rPr>
          <w:rFonts w:ascii="Times New Roman" w:eastAsia="Times New Roman" w:hAnsi="Times New Roman" w:cs="Tahoma"/>
          <w:sz w:val="28"/>
          <w:szCs w:val="28"/>
          <w:lang w:eastAsia="ru-RU"/>
        </w:rPr>
        <w:t>, утвержденных</w:t>
      </w:r>
      <w:r w:rsidR="0091124F" w:rsidRPr="0091124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proofErr w:type="gramStart"/>
      <w:r w:rsidR="0091124F" w:rsidRPr="0091124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решением Совета </w:t>
      </w:r>
      <w:r w:rsidR="0091124F" w:rsidRPr="0091124F">
        <w:rPr>
          <w:rFonts w:ascii="Times New Roman" w:hAnsi="Times New Roman"/>
          <w:sz w:val="28"/>
          <w:szCs w:val="28"/>
        </w:rPr>
        <w:t>Пестяковского городского поселения от 14 .11. 2017 г.</w:t>
      </w:r>
      <w:r w:rsidR="0091124F">
        <w:rPr>
          <w:rFonts w:ascii="Times New Roman" w:hAnsi="Times New Roman"/>
          <w:sz w:val="28"/>
          <w:szCs w:val="28"/>
        </w:rPr>
        <w:t xml:space="preserve">      </w:t>
      </w:r>
      <w:r w:rsidR="0091124F" w:rsidRPr="0091124F">
        <w:rPr>
          <w:rFonts w:ascii="Times New Roman" w:hAnsi="Times New Roman"/>
          <w:sz w:val="28"/>
          <w:szCs w:val="28"/>
        </w:rPr>
        <w:t xml:space="preserve"> № 189</w:t>
      </w:r>
      <w:r w:rsidRPr="00EA1E5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</w:t>
      </w:r>
      <w:r w:rsidR="0091124F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Правил благоустройства территории Пестяковского сельского поселения</w:t>
      </w:r>
      <w:r w:rsidR="00AB5F01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утвержденных решением Совета Пестяковского сельского поселения </w:t>
      </w:r>
      <w:r w:rsidR="008F0839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E0420B" w:rsidRPr="00E0420B">
        <w:rPr>
          <w:rFonts w:ascii="Times New Roman" w:hAnsi="Times New Roman" w:cs="Times New Roman"/>
          <w:sz w:val="28"/>
          <w:szCs w:val="28"/>
        </w:rPr>
        <w:t xml:space="preserve">от 15.02.2013  г.  </w:t>
      </w:r>
      <w:r w:rsidR="00AB5F01" w:rsidRPr="00E0420B">
        <w:rPr>
          <w:rFonts w:ascii="Times New Roman" w:hAnsi="Times New Roman" w:cs="Times New Roman"/>
          <w:sz w:val="28"/>
          <w:szCs w:val="28"/>
        </w:rPr>
        <w:t xml:space="preserve">№ 140, </w:t>
      </w:r>
      <w:r w:rsidR="008F0839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Правил благоустройства территории </w:t>
      </w:r>
      <w:proofErr w:type="spellStart"/>
      <w:r w:rsidR="008F0839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Нижнеландеховского</w:t>
      </w:r>
      <w:proofErr w:type="spellEnd"/>
      <w:r w:rsidR="008F0839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сельского поселения</w:t>
      </w:r>
      <w:r w:rsidR="00E0420B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утвержденных решением Совета </w:t>
      </w:r>
      <w:proofErr w:type="spellStart"/>
      <w:r w:rsidR="00E0420B">
        <w:rPr>
          <w:rFonts w:ascii="Times New Roman" w:eastAsia="Times New Roman" w:hAnsi="Times New Roman" w:cs="Tahoma"/>
          <w:sz w:val="28"/>
          <w:szCs w:val="28"/>
          <w:lang w:eastAsia="ru-RU"/>
        </w:rPr>
        <w:t>Нижнеландеховского</w:t>
      </w:r>
      <w:proofErr w:type="spellEnd"/>
      <w:r w:rsidR="00E0420B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сельского поселения  от 10.07.2009 г. № 95</w:t>
      </w:r>
      <w:r w:rsidR="008F0839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постановлением Администрации Пестяковс</w:t>
      </w:r>
      <w:r w:rsidR="00666C50">
        <w:rPr>
          <w:rFonts w:ascii="Times New Roman" w:eastAsia="Times New Roman" w:hAnsi="Times New Roman" w:cs="Tahoma"/>
          <w:sz w:val="28"/>
          <w:szCs w:val="28"/>
          <w:lang w:eastAsia="ru-RU"/>
        </w:rPr>
        <w:t>кого муниципального района  от 30</w:t>
      </w:r>
      <w:r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.0</w:t>
      </w:r>
      <w:r w:rsidR="00666C50">
        <w:rPr>
          <w:rFonts w:ascii="Times New Roman" w:eastAsia="Times New Roman" w:hAnsi="Times New Roman" w:cs="Tahoma"/>
          <w:sz w:val="28"/>
          <w:szCs w:val="28"/>
          <w:lang w:eastAsia="ru-RU"/>
        </w:rPr>
        <w:t>4</w:t>
      </w:r>
      <w:r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.20</w:t>
      </w:r>
      <w:r w:rsidR="00666C50">
        <w:rPr>
          <w:rFonts w:ascii="Times New Roman" w:eastAsia="Times New Roman" w:hAnsi="Times New Roman" w:cs="Tahoma"/>
          <w:sz w:val="28"/>
          <w:szCs w:val="28"/>
          <w:lang w:eastAsia="ru-RU"/>
        </w:rPr>
        <w:t>20</w:t>
      </w:r>
      <w:r w:rsid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г. </w:t>
      </w:r>
      <w:r w:rsidR="00666C5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№ 126</w:t>
      </w:r>
      <w:r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«Об</w:t>
      </w:r>
      <w:r w:rsidR="00666C5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утверждении положения о размещении нестационарных торговых объектов, нестационарных развлекательных объектов и объектов для осуществления торговли, оказания услуг для проведения</w:t>
      </w:r>
      <w:proofErr w:type="gramEnd"/>
      <w:r w:rsidR="00666C5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культурно-массовых и иных мероприятий на территории Пестяковского муниципального района</w:t>
      </w:r>
      <w:r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»</w:t>
      </w:r>
      <w:r w:rsidRPr="00EA1E5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в целях формирования благоприятной архитектурной среды, </w:t>
      </w:r>
      <w:r w:rsidR="00603E67" w:rsidRPr="00603E67">
        <w:rPr>
          <w:rFonts w:ascii="Times New Roman" w:hAnsi="Times New Roman" w:cs="Times New Roman"/>
          <w:sz w:val="28"/>
          <w:szCs w:val="28"/>
        </w:rPr>
        <w:t xml:space="preserve"> </w:t>
      </w:r>
      <w:r w:rsidR="00C563CB" w:rsidRPr="00641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A1E5B" w:rsidRPr="00EA1E5B" w:rsidRDefault="00C563CB" w:rsidP="00EA1E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4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E5B" w:rsidRPr="00EA1E5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Утвердить Дизайн-код п. Пестяки и </w:t>
      </w:r>
      <w:r w:rsid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населенных пунктов </w:t>
      </w:r>
      <w:r w:rsidR="00EA1E5B" w:rsidRPr="00EA1E5B">
        <w:rPr>
          <w:rFonts w:ascii="Times New Roman" w:eastAsia="Times New Roman" w:hAnsi="Times New Roman" w:cs="Tahoma"/>
          <w:sz w:val="28"/>
          <w:szCs w:val="28"/>
          <w:lang w:eastAsia="ru-RU"/>
        </w:rPr>
        <w:t>Пестяковского муниципального района  по размещению нестационарных торговых объектов (далее – НТО) согласно приложению    № 1 к настоящему постановлению.</w:t>
      </w:r>
    </w:p>
    <w:p w:rsidR="00491D06" w:rsidRDefault="009A4279" w:rsidP="00263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1E5B" w:rsidRPr="00EA1E5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EA1E5B" w:rsidRPr="00EA1E5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Требования Дизайн-кода  п. Пестяки и </w:t>
      </w:r>
      <w:r w:rsid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населенных пунктов </w:t>
      </w:r>
      <w:r w:rsidR="00EA1E5B" w:rsidRPr="00EA1E5B">
        <w:rPr>
          <w:rFonts w:ascii="Times New Roman" w:eastAsia="Times New Roman" w:hAnsi="Times New Roman" w:cs="Tahoma"/>
          <w:sz w:val="28"/>
          <w:szCs w:val="28"/>
          <w:lang w:eastAsia="ru-RU"/>
        </w:rPr>
        <w:t>Пестяковского муниципального района  по размещению НТО (далее – Дизайн-код) обязательны для исполнения всеми собственниками НТО, расположенных на муниципальных земельных участках и участках, государственная собственность на которые не разграничена, и рекомендованы для собственников НТО, расположенных на земельных участках,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1D06" w:rsidRPr="0049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D0" w:rsidRDefault="007376D0" w:rsidP="002638D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76D0">
        <w:rPr>
          <w:rFonts w:ascii="Times New Roman" w:eastAsia="Times New Roman" w:hAnsi="Times New Roman" w:cs="Tahoma"/>
          <w:sz w:val="28"/>
          <w:szCs w:val="28"/>
          <w:lang w:eastAsia="ru-RU"/>
        </w:rPr>
        <w:t>Требования Дизайн-кода не распространяются на отношения, связанные с размещением НТО при проведении праздничных, общественно-</w:t>
      </w:r>
      <w:r w:rsidRPr="007376D0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>политических, культурно-массовых и спортивно-массовых мероприятий, имеющих краткосрочный характер. Требования Дизайн-кода не регулируют отношения, связанные с размещением НТО, находящихся на территории ярмарок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.</w:t>
      </w:r>
    </w:p>
    <w:p w:rsidR="003B0EC4" w:rsidRDefault="003B0EC4" w:rsidP="002638D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4. </w:t>
      </w:r>
      <w:proofErr w:type="gramStart"/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Утвердить переходные положения для индивидуальных предпринимателей и юридических лиц, эксплуатировавших до принятия 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н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астоящего постановления на территории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п. Пестяки и населенных пунктов Пестяковского муниципального района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на земельных участках, находящихся в муниципальной собственности, и на земельных участках, государственная собственность на которые не разграничена, на основании договоров аренды земельных участков с Администрацией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Пестяковского муниципального района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>, заключенных до вступления в силу настоящего постановления и</w:t>
      </w:r>
      <w:proofErr w:type="gramEnd"/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действующих на день его принятия (далее – Собственники НТО).</w:t>
      </w:r>
    </w:p>
    <w:p w:rsidR="002D1AB3" w:rsidRDefault="003B0EC4" w:rsidP="002D1AB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5.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Собственники НТО в срок до </w:t>
      </w:r>
      <w:r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01.0</w:t>
      </w:r>
      <w:r w:rsidR="00114F57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7</w:t>
      </w:r>
      <w:r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.2020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вправе подать в Администрацию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Пестяковского муниципального района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заявление о расторжении договора аренды земельного участка, занятого НТО, по соглашению сторон. Администрация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Пестяковского муниципального района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 срок до </w:t>
      </w:r>
      <w:r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01.0</w:t>
      </w:r>
      <w:r w:rsidR="00114F57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8</w:t>
      </w:r>
      <w:r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.2020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>расторгает договор аренды земельного участка по соглашению</w:t>
      </w:r>
      <w:r w:rsidR="002D1AB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сторон. </w:t>
      </w:r>
    </w:p>
    <w:p w:rsidR="003B0EC4" w:rsidRDefault="003B0EC4" w:rsidP="002D1AB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Собственники НТО в течение 30 рабочих дней с момента расторжения указанного договора вправе подать в Администрацию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Пестяковского муниципального района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0F3DB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заявление о заключении договора на право размещения НТО на ранее занимаемом земельном участке согласно приложению № 2 к настоящему постановлению. </w:t>
      </w:r>
      <w:r w:rsidRPr="000F3DBE">
        <w:rPr>
          <w:rFonts w:ascii="Times New Roman" w:eastAsia="Times New Roman" w:hAnsi="Times New Roman" w:cs="Tahoma"/>
          <w:sz w:val="28"/>
          <w:szCs w:val="28"/>
          <w:lang w:eastAsia="ru-RU"/>
        </w:rPr>
        <w:br/>
      </w:r>
      <w:r w:rsidR="002D1AB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</w:t>
      </w:r>
      <w:proofErr w:type="gramStart"/>
      <w:r w:rsidRPr="000F3DB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Администрация Пестяковского муниципального района  в течение 15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рабочих дней со дня поступления заявления заключает с Собственником НТО договор на право размещения НТО на ранее занимаемом месте размещения при </w:t>
      </w:r>
      <w:r w:rsidR="002D1AB3"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>условии</w:t>
      </w:r>
      <w:r w:rsidR="002D1AB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наличия у собственника НТО государственной регистрации в качестве юридического лица или индивидуального предпринимателя на дату обращения, 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>отсутствия задолженности по арендной плате за ранее занимаемый земельный участок, отсутствия задолженности по уплате налоговых</w:t>
      </w:r>
      <w:proofErr w:type="gramEnd"/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proofErr w:type="gramStart"/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платежей и обязательных платежей во внебюджетные фонды на дату обращения и соответствия паспорта НТО Дизайн-коду без проведения торгов на право размещения НТО </w:t>
      </w:r>
      <w:r w:rsidRPr="000F3DB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на пять лет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и условиях, определенных типовой формой договора на право размещения НТО на территории </w:t>
      </w:r>
      <w:r w:rsidR="000F3DB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п. Пестяки и населенных пунктов Пестяковского муниципального района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>, по базовой ставке платы за место для размещения НТО на территории</w:t>
      </w:r>
      <w:r w:rsidR="002D1AB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п. Пестяки и населенных</w:t>
      </w:r>
      <w:proofErr w:type="gramEnd"/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пунктов Пестяковского муниципального района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утвержденной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постановлением Администр</w:t>
      </w:r>
      <w:r w:rsidR="00081802">
        <w:rPr>
          <w:rFonts w:ascii="Times New Roman" w:eastAsia="Times New Roman" w:hAnsi="Times New Roman" w:cs="Tahom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ции Пестяковского муниципального района</w:t>
      </w:r>
      <w:r w:rsidR="00081802" w:rsidRPr="0008180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081802">
        <w:rPr>
          <w:rFonts w:ascii="Times New Roman" w:eastAsia="Times New Roman" w:hAnsi="Times New Roman" w:cs="Tahoma"/>
          <w:sz w:val="28"/>
          <w:szCs w:val="28"/>
          <w:lang w:eastAsia="ru-RU"/>
        </w:rPr>
        <w:t>от 30</w:t>
      </w:r>
      <w:r w:rsidR="00081802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.0</w:t>
      </w:r>
      <w:r w:rsidR="00081802">
        <w:rPr>
          <w:rFonts w:ascii="Times New Roman" w:eastAsia="Times New Roman" w:hAnsi="Times New Roman" w:cs="Tahoma"/>
          <w:sz w:val="28"/>
          <w:szCs w:val="28"/>
          <w:lang w:eastAsia="ru-RU"/>
        </w:rPr>
        <w:t>4</w:t>
      </w:r>
      <w:r w:rsidR="00081802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.20</w:t>
      </w:r>
      <w:r w:rsidR="00081802">
        <w:rPr>
          <w:rFonts w:ascii="Times New Roman" w:eastAsia="Times New Roman" w:hAnsi="Times New Roman" w:cs="Tahoma"/>
          <w:sz w:val="28"/>
          <w:szCs w:val="28"/>
          <w:lang w:eastAsia="ru-RU"/>
        </w:rPr>
        <w:t>20 г.  № 126</w:t>
      </w:r>
      <w:r w:rsidR="00081802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«Об</w:t>
      </w:r>
      <w:r w:rsidR="0008180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утверждении положения о размещении нестационарных торговых объектов, нестационарных развлекательных объектов и объектов для осуществления торговли, оказания услуг для проведения культурно-массовых и иных мероприятий на территории Пестяковского муниципального района</w:t>
      </w:r>
      <w:r w:rsidR="00081802" w:rsidRPr="00E0420B">
        <w:rPr>
          <w:rFonts w:ascii="Times New Roman" w:eastAsia="Times New Roman" w:hAnsi="Times New Roman" w:cs="Tahoma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DC3948">
        <w:rPr>
          <w:rFonts w:ascii="Times New Roman" w:eastAsia="Times New Roman" w:hAnsi="Times New Roman" w:cs="Tahoma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По истечении 30 рабочих дней с момента расторжения договора аренды земельного участка Собственники НТО, не подавшие заявление о заключении договора на право размещения НТО на территории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п. Пестяки и населенных пунктов Пестяковского муниципального района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, лишаются </w:t>
      </w:r>
      <w:r w:rsidR="002B385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права на заключение договора без проведения конкурентных процедур и вправе претендовать на места для размещения НТО по итогам конкурентных процедур. </w:t>
      </w:r>
      <w:proofErr w:type="gramEnd"/>
    </w:p>
    <w:p w:rsidR="00973882" w:rsidRDefault="003B0EC4" w:rsidP="003B0EC4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7.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Собственники НТО, заключившие договор на право размещения НТО без проведения конкурентных процедур, обязаны в течение шести месяцев со дня заключения соответствующего договора привести внешний облик НТО в соответствие с требованиями Дизайн-кода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п. Пестяки и населенных пунктов Пестяковского муниципального района </w:t>
      </w:r>
      <w:r w:rsidRPr="003B0EC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по размещению НТО, утвержденными настоящим постановлением. В случае несоблюдения данного требования договор на размещение НТО расторгается в одностороннем порядке, а НТО подлежит демонтажу.</w:t>
      </w:r>
    </w:p>
    <w:p w:rsidR="003B0EC4" w:rsidRDefault="00973882" w:rsidP="003B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8. </w:t>
      </w:r>
      <w:proofErr w:type="gramStart"/>
      <w:r w:rsidRPr="00973882">
        <w:rPr>
          <w:rFonts w:ascii="Times New Roman" w:eastAsia="Times New Roman" w:hAnsi="Times New Roman" w:cs="Tahoma"/>
          <w:sz w:val="28"/>
          <w:szCs w:val="28"/>
          <w:lang w:eastAsia="ru-RU"/>
        </w:rPr>
        <w:t>Контроль за</w:t>
      </w:r>
      <w:proofErr w:type="gramEnd"/>
      <w:r w:rsidRPr="00973882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3B0EC4" w:rsidRPr="00973882">
        <w:rPr>
          <w:rFonts w:ascii="Times New Roman" w:eastAsia="Times New Roman" w:hAnsi="Times New Roman" w:cs="Tahoma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857F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7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Пестяковского муниципального района.</w:t>
      </w:r>
    </w:p>
    <w:p w:rsidR="00973882" w:rsidRPr="00973882" w:rsidRDefault="00973882" w:rsidP="003B0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7388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Пестяковского </w:t>
      </w:r>
      <w:r w:rsidRPr="0097388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712CC" w:rsidRDefault="00973882" w:rsidP="00E06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563CB" w:rsidRPr="0064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</w:t>
      </w:r>
      <w:r w:rsidR="00614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C563CB" w:rsidRPr="0064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F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01.06.2020 г</w:t>
      </w:r>
      <w:r w:rsidR="00C563CB" w:rsidRPr="0064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8D3" w:rsidRDefault="002638D3" w:rsidP="00C563CB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8D3" w:rsidRDefault="002638D3" w:rsidP="00C563CB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9A" w:rsidRDefault="005A2C9A" w:rsidP="00C563CB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563CB" w:rsidRDefault="00C563CB" w:rsidP="00C563CB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F0F4D">
        <w:rPr>
          <w:rFonts w:ascii="Times New Roman" w:hAnsi="Times New Roman" w:cs="Times New Roman"/>
          <w:sz w:val="28"/>
          <w:szCs w:val="28"/>
        </w:rPr>
        <w:t>Глав</w:t>
      </w:r>
      <w:r w:rsidR="005A2C9A">
        <w:rPr>
          <w:rFonts w:ascii="Times New Roman" w:hAnsi="Times New Roman" w:cs="Times New Roman"/>
          <w:sz w:val="28"/>
          <w:szCs w:val="28"/>
        </w:rPr>
        <w:t>ы</w:t>
      </w:r>
    </w:p>
    <w:p w:rsidR="00085E7E" w:rsidRDefault="00C563CB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DF0F4D">
        <w:rPr>
          <w:rFonts w:ascii="Times New Roman" w:hAnsi="Times New Roman" w:cs="Times New Roman"/>
          <w:sz w:val="28"/>
          <w:szCs w:val="28"/>
        </w:rPr>
        <w:t>Пестяковского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4D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F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1B69">
        <w:rPr>
          <w:rFonts w:ascii="Times New Roman" w:hAnsi="Times New Roman" w:cs="Times New Roman"/>
          <w:sz w:val="28"/>
          <w:szCs w:val="28"/>
        </w:rPr>
        <w:t xml:space="preserve">     </w:t>
      </w:r>
      <w:r w:rsidR="005A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0F4D">
        <w:rPr>
          <w:rFonts w:ascii="Times New Roman" w:hAnsi="Times New Roman" w:cs="Times New Roman"/>
          <w:sz w:val="28"/>
          <w:szCs w:val="28"/>
        </w:rPr>
        <w:t xml:space="preserve"> </w:t>
      </w:r>
      <w:r w:rsidR="003C1BF2">
        <w:rPr>
          <w:rFonts w:ascii="Times New Roman" w:hAnsi="Times New Roman" w:cs="Times New Roman"/>
          <w:sz w:val="28"/>
          <w:szCs w:val="28"/>
        </w:rPr>
        <w:t xml:space="preserve">  </w:t>
      </w:r>
      <w:r w:rsidRPr="00DF0F4D">
        <w:rPr>
          <w:rFonts w:ascii="Times New Roman" w:hAnsi="Times New Roman" w:cs="Times New Roman"/>
          <w:sz w:val="28"/>
          <w:szCs w:val="28"/>
        </w:rPr>
        <w:t xml:space="preserve">   </w:t>
      </w:r>
      <w:r w:rsidR="007D1B69">
        <w:rPr>
          <w:rFonts w:ascii="Times New Roman" w:hAnsi="Times New Roman" w:cs="Times New Roman"/>
          <w:sz w:val="28"/>
          <w:szCs w:val="28"/>
        </w:rPr>
        <w:t>Е.А. Железнова</w:t>
      </w:r>
      <w:r w:rsidR="00B7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C5EDC" w:rsidRPr="00F32443" w:rsidRDefault="008C5EDC" w:rsidP="008C5EDC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32443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8C5EDC" w:rsidRPr="00F32443" w:rsidRDefault="008C5EDC" w:rsidP="008C5EDC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3244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C5EDC" w:rsidRPr="00F32443" w:rsidRDefault="008C5EDC" w:rsidP="008C5EDC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F32443">
        <w:rPr>
          <w:rFonts w:ascii="Times New Roman" w:hAnsi="Times New Roman" w:cs="Times New Roman"/>
          <w:sz w:val="20"/>
          <w:szCs w:val="20"/>
        </w:rPr>
        <w:t>Пестяковского муниципального района</w:t>
      </w:r>
    </w:p>
    <w:p w:rsidR="008C5EDC" w:rsidRPr="00F32443" w:rsidRDefault="008C5EDC" w:rsidP="008C5EDC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32443">
        <w:rPr>
          <w:rFonts w:ascii="Times New Roman" w:hAnsi="Times New Roman" w:cs="Times New Roman"/>
          <w:sz w:val="20"/>
          <w:szCs w:val="20"/>
        </w:rPr>
        <w:t>от «_» мая 2020года №__</w:t>
      </w:r>
    </w:p>
    <w:p w:rsidR="008C5EDC" w:rsidRDefault="008C5EDC" w:rsidP="008C5EDC">
      <w:pPr>
        <w:rPr>
          <w:rFonts w:ascii="Times New Roman" w:hAnsi="Times New Roman" w:cs="Times New Roman"/>
          <w:sz w:val="24"/>
          <w:szCs w:val="24"/>
        </w:rPr>
      </w:pPr>
    </w:p>
    <w:p w:rsidR="008C5EDC" w:rsidRPr="00F32443" w:rsidRDefault="008C5EDC" w:rsidP="008C5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Дизайн-код </w:t>
      </w:r>
      <w:r>
        <w:rPr>
          <w:rFonts w:ascii="Times New Roman" w:hAnsi="Times New Roman" w:cs="Times New Roman"/>
          <w:sz w:val="24"/>
          <w:szCs w:val="24"/>
        </w:rPr>
        <w:t>п. Пестяки</w:t>
      </w:r>
      <w:r w:rsidRPr="00F32443">
        <w:rPr>
          <w:rFonts w:ascii="Times New Roman" w:hAnsi="Times New Roman" w:cs="Times New Roman"/>
          <w:sz w:val="24"/>
          <w:szCs w:val="24"/>
        </w:rPr>
        <w:t xml:space="preserve"> по размещению</w:t>
      </w:r>
    </w:p>
    <w:p w:rsidR="008C5EDC" w:rsidRPr="00F32443" w:rsidRDefault="008C5EDC" w:rsidP="008C5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8C5EDC" w:rsidRDefault="008C5EDC" w:rsidP="008C5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EDC" w:rsidRPr="00363660" w:rsidRDefault="008C5EDC" w:rsidP="008C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60">
        <w:rPr>
          <w:rFonts w:ascii="Times New Roman" w:hAnsi="Times New Roman" w:cs="Times New Roman"/>
          <w:b/>
          <w:sz w:val="24"/>
          <w:szCs w:val="24"/>
        </w:rPr>
        <w:t>1. Термины и определения</w:t>
      </w:r>
    </w:p>
    <w:p w:rsidR="008C5EDC" w:rsidRDefault="008C5EDC" w:rsidP="008C5EDC">
      <w:pPr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2443">
        <w:rPr>
          <w:rFonts w:ascii="Times New Roman" w:hAnsi="Times New Roman" w:cs="Times New Roman"/>
          <w:sz w:val="24"/>
          <w:szCs w:val="24"/>
        </w:rPr>
        <w:t xml:space="preserve"> Сооружение – объемная, плоскостная или линейная наземная, надземная или подземная строительная система, состоящая из несущих, а в отдельных случаях и ограждающих конструкций, и предназначенная для выполнения производственных процессов различного вида, хранения материалов, изделий, оборудования, для временного пребывания людей, перемещения людей и грузов и т. д. </w:t>
      </w:r>
    </w:p>
    <w:p w:rsidR="008C5EDC" w:rsidRDefault="008C5EDC" w:rsidP="008C5EDC">
      <w:pPr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2443">
        <w:rPr>
          <w:rFonts w:ascii="Times New Roman" w:hAnsi="Times New Roman" w:cs="Times New Roman"/>
          <w:sz w:val="24"/>
          <w:szCs w:val="24"/>
        </w:rPr>
        <w:t xml:space="preserve"> Пешеходная зона тротуара – свободный от преград и препятствий выделенный участок улицы, предназначенный для движения пешеходов. </w:t>
      </w:r>
    </w:p>
    <w:p w:rsidR="008C5EDC" w:rsidRDefault="008C5EDC" w:rsidP="008C5EDC">
      <w:pPr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2443">
        <w:rPr>
          <w:rFonts w:ascii="Times New Roman" w:hAnsi="Times New Roman" w:cs="Times New Roman"/>
          <w:sz w:val="24"/>
          <w:szCs w:val="24"/>
        </w:rPr>
        <w:t xml:space="preserve"> Техническая зона тротуара – участки тротуара, в пределах которых размещаются дорожные знаки, светофорные объекты, приборы освещения, мачты связи, кабельные системы и другое инженерное оборудование. </w:t>
      </w:r>
    </w:p>
    <w:p w:rsidR="008C5EDC" w:rsidRDefault="008C5EDC" w:rsidP="008C5EDC">
      <w:pPr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2443">
        <w:rPr>
          <w:rFonts w:ascii="Times New Roman" w:hAnsi="Times New Roman" w:cs="Times New Roman"/>
          <w:sz w:val="24"/>
          <w:szCs w:val="24"/>
        </w:rPr>
        <w:t xml:space="preserve"> Сервисная зона тротуара – часть придомовой территории жилых домов, иных зданий и сооружений, составляющих фронт улицы. В зоне могут быть расположены входные группы, приямки, уличные кафе, места кратковременного отдыха и палисадники. </w:t>
      </w:r>
    </w:p>
    <w:p w:rsidR="008C5EDC" w:rsidRDefault="008C5EDC" w:rsidP="008C5EDC">
      <w:pPr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2443">
        <w:rPr>
          <w:rFonts w:ascii="Times New Roman" w:hAnsi="Times New Roman" w:cs="Times New Roman"/>
          <w:sz w:val="24"/>
          <w:szCs w:val="24"/>
        </w:rPr>
        <w:t xml:space="preserve"> Проезжая часть – элемент дороги, предназначенный для движения безрельсовых транспортных средств. </w:t>
      </w:r>
    </w:p>
    <w:p w:rsidR="008C5EDC" w:rsidRDefault="008C5EDC" w:rsidP="008C5EDC">
      <w:pPr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2443">
        <w:rPr>
          <w:rFonts w:ascii="Times New Roman" w:hAnsi="Times New Roman" w:cs="Times New Roman"/>
          <w:sz w:val="24"/>
          <w:szCs w:val="24"/>
        </w:rPr>
        <w:t xml:space="preserve"> Посадочная площадка – элемент остановочного комплекса, предназначенный для высадки и посадки пассажиров. </w:t>
      </w:r>
    </w:p>
    <w:p w:rsidR="008C5EDC" w:rsidRDefault="008C5EDC" w:rsidP="008C5EDC">
      <w:pPr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2443">
        <w:rPr>
          <w:rFonts w:ascii="Times New Roman" w:hAnsi="Times New Roman" w:cs="Times New Roman"/>
          <w:sz w:val="24"/>
          <w:szCs w:val="24"/>
        </w:rPr>
        <w:t xml:space="preserve"> Площадка ожидания – элемент остановочного комплекса, предназначенный для ожидания пассажирами прибытия общественного транспорта. </w:t>
      </w:r>
    </w:p>
    <w:p w:rsidR="008C5EDC" w:rsidRDefault="008C5EDC" w:rsidP="008C5EDC">
      <w:pPr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2443">
        <w:rPr>
          <w:rFonts w:ascii="Times New Roman" w:hAnsi="Times New Roman" w:cs="Times New Roman"/>
          <w:sz w:val="24"/>
          <w:szCs w:val="24"/>
        </w:rPr>
        <w:t xml:space="preserve"> Сгруппированные нестационарные торговые объекты (далее – НТО) – два и более НТО, расстояние между которыми менее 0,3 м. </w:t>
      </w:r>
    </w:p>
    <w:p w:rsidR="008C5EDC" w:rsidRDefault="008C5EDC" w:rsidP="008C5EDC">
      <w:pPr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sym w:font="Symbol" w:char="F0B7"/>
      </w:r>
      <w:r w:rsidRPr="00F32443">
        <w:rPr>
          <w:rFonts w:ascii="Times New Roman" w:hAnsi="Times New Roman" w:cs="Times New Roman"/>
          <w:sz w:val="24"/>
          <w:szCs w:val="24"/>
        </w:rPr>
        <w:t xml:space="preserve"> Остановочный павильон – элемент остановочного комплекса, предназначенный для укрытия пассажиров, ожидающих прибытия общественного транспорта, от воздействия неблагоприятных </w:t>
      </w:r>
      <w:proofErr w:type="spellStart"/>
      <w:r w:rsidRPr="00F32443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F32443">
        <w:rPr>
          <w:rFonts w:ascii="Times New Roman" w:hAnsi="Times New Roman" w:cs="Times New Roman"/>
          <w:sz w:val="24"/>
          <w:szCs w:val="24"/>
        </w:rPr>
        <w:t xml:space="preserve">-климатических факторов (осадки, воздействие прямых солнечных лучей, ветер и т. п.). </w:t>
      </w:r>
    </w:p>
    <w:p w:rsidR="008C5EDC" w:rsidRPr="00363660" w:rsidRDefault="008C5EDC" w:rsidP="008C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60">
        <w:rPr>
          <w:rFonts w:ascii="Times New Roman" w:hAnsi="Times New Roman" w:cs="Times New Roman"/>
          <w:b/>
          <w:sz w:val="24"/>
          <w:szCs w:val="24"/>
        </w:rPr>
        <w:t>2. Конфигурации НТО</w:t>
      </w:r>
    </w:p>
    <w:p w:rsidR="008C5EDC" w:rsidRDefault="008C5EDC" w:rsidP="008C5E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Дизайн-код выделяет два вида конфигурации НТО: одиночные НТО и торговая галерея. На НТО любой конфигурации рекомендуется размещать режимную табличку с указанием фирменного наименования организации и индивидуального предпринимателя, адреса, режима работы.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lastRenderedPageBreak/>
        <w:t>Одиночные НТО – от</w:t>
      </w:r>
      <w:r>
        <w:rPr>
          <w:rFonts w:ascii="Times New Roman" w:hAnsi="Times New Roman" w:cs="Times New Roman"/>
          <w:sz w:val="24"/>
          <w:szCs w:val="24"/>
        </w:rPr>
        <w:t xml:space="preserve">дельно стоящие </w:t>
      </w:r>
      <w:r w:rsidRPr="00F32443">
        <w:rPr>
          <w:rFonts w:ascii="Times New Roman" w:hAnsi="Times New Roman" w:cs="Times New Roman"/>
          <w:sz w:val="24"/>
          <w:szCs w:val="24"/>
        </w:rPr>
        <w:t xml:space="preserve">объекты, рекомендованное расстояние между которыми 10 м и более. Между одиночными НТО не рекомендуется размещение других торговых объектов любой конфигурации и типа.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Торговая галерея – два и более НТО, расстояние между которыми менее 0,3 м. Зазор между объектами необходимо облицовывать. НТО в группе следует размещать вплотную друг к другу.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Высота сгруппированных НТО должна быть одинаковой. Все НТО в группе следует устраивать одной глубины. </w:t>
      </w:r>
    </w:p>
    <w:p w:rsidR="008C5EDC" w:rsidRDefault="008C5EDC" w:rsidP="008C5E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Рекомендуется выполнять общий проект на всю группу объектов, включая проект благоустройства территории размещения объектов и прилегающей территории. </w:t>
      </w:r>
    </w:p>
    <w:p w:rsidR="008C5EDC" w:rsidRPr="00363660" w:rsidRDefault="008C5EDC" w:rsidP="008C5E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60">
        <w:rPr>
          <w:rFonts w:ascii="Times New Roman" w:hAnsi="Times New Roman" w:cs="Times New Roman"/>
          <w:b/>
          <w:sz w:val="24"/>
          <w:szCs w:val="24"/>
        </w:rPr>
        <w:t>3. Общие правила при размещении и оформлении внешнего вида НТО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Площадки для сбора мусора и пищевых отходов располагаются на расстоянии не менее 25 м от организаций торговли. Допускается сокращать указанное расстояние, исходя из местных условий размещения организаций торговли.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От автозаправочных станций НТО необходимо размещать на расстоянии более 25 м.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НТО не должны мешать подъезду пожарной, аварийно-спасательной техники или доступу к элементам инженерной инфраструктуры: объектам энергоснабжения и освещения, колодцам, кранам, гидрантам и другим.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При установке НТО не допускается заглубление фундамента, целостность пок</w:t>
      </w:r>
      <w:r>
        <w:rPr>
          <w:rFonts w:ascii="Times New Roman" w:hAnsi="Times New Roman" w:cs="Times New Roman"/>
          <w:sz w:val="24"/>
          <w:szCs w:val="24"/>
        </w:rPr>
        <w:t xml:space="preserve">рытия не должна быть нарушена. </w:t>
      </w:r>
      <w:r w:rsidRPr="00F3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363660" w:rsidRDefault="008C5EDC" w:rsidP="008C5E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60">
        <w:rPr>
          <w:rFonts w:ascii="Times New Roman" w:hAnsi="Times New Roman" w:cs="Times New Roman"/>
          <w:b/>
          <w:sz w:val="24"/>
          <w:szCs w:val="24"/>
        </w:rPr>
        <w:t>4. Запреты, применимые при размещении и оформлении внешнего вида НТО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Запрещено размещать киоски и павильоны на территориях, занятых инженерными коммуникациями и их охранными зонами. Размещение киосков и павильонов на указанных территориях допускается только после письменного согласования собственника киоска или павильона с владельцами коммуникаций.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Запрещено складировать товар, упаковку или мусор на элементах благоустройства и прилегающей к НТО территории. Транспортное обслуживание НТО и загрузка их товарами не должны снижать безопасность движения пешеходов и транспорта.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Запрещено размещать НТО в арках зданий, на цветниках, детских и спортивных площадках, парковках и во дворах. Запрещено размещение НТО совместно с остановочными павильонами. Запрещено размещать киоски и павильоны на грунтовом, травяном и песчаном покрытиях. Если киоск или павильон невозможно разместить на твердом покрытии, необходимо предварительное асфальтирование или покрыти</w:t>
      </w:r>
      <w:r>
        <w:rPr>
          <w:rFonts w:ascii="Times New Roman" w:hAnsi="Times New Roman" w:cs="Times New Roman"/>
          <w:sz w:val="24"/>
          <w:szCs w:val="24"/>
        </w:rPr>
        <w:t xml:space="preserve">е площадки тротуарной плиткой.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DC" w:rsidRPr="00A16C3E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3E">
        <w:rPr>
          <w:rFonts w:ascii="Times New Roman" w:hAnsi="Times New Roman" w:cs="Times New Roman"/>
          <w:b/>
          <w:sz w:val="24"/>
          <w:szCs w:val="24"/>
        </w:rPr>
        <w:t>5. Размещение киосков и павильонов относительно зданий и сооружений</w:t>
      </w:r>
    </w:p>
    <w:p w:rsidR="008C5EDC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1. Рекомендуемое минимальное расстояние от киосков и павильонов до глухих фасадов зданий – 2 м.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2. Для безопасности не рекомендуется размещать киоски и павильоны напротив входов в здания.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3. От границ входных дверей рекомендуется отступать в сторону не менее 5 м.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4. Для безопасности не рекомендуется размещать киоски и павильоны на расстоянии менее 25 м от наружны</w:t>
      </w:r>
      <w:r>
        <w:rPr>
          <w:rFonts w:ascii="Times New Roman" w:hAnsi="Times New Roman" w:cs="Times New Roman"/>
          <w:sz w:val="24"/>
          <w:szCs w:val="24"/>
        </w:rPr>
        <w:t>х стен технических сооружений.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DC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60">
        <w:rPr>
          <w:rFonts w:ascii="Times New Roman" w:hAnsi="Times New Roman" w:cs="Times New Roman"/>
          <w:b/>
          <w:sz w:val="24"/>
          <w:szCs w:val="24"/>
        </w:rPr>
        <w:t>6. Размещение НТО относительно пешеходных зон</w:t>
      </w:r>
    </w:p>
    <w:p w:rsidR="008C5EDC" w:rsidRPr="00363660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1. Не рекомендуется размещать НТО вплотную к пешеходной зоне шириной менее 3 м, чтобы не мешать движению пешеходов. НТО рекомендуется располагать с отступом </w:t>
      </w:r>
      <w:r w:rsidRPr="00F32443">
        <w:rPr>
          <w:rFonts w:ascii="Times New Roman" w:hAnsi="Times New Roman" w:cs="Times New Roman"/>
          <w:sz w:val="24"/>
          <w:szCs w:val="24"/>
        </w:rPr>
        <w:lastRenderedPageBreak/>
        <w:t xml:space="preserve">от пешеходных зон для организации зоны обслуживания покупателей, так чтобы ширина пешеходной зоны составляла не менее 3 м.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2. Допустимо размещать НТО вплотную к пешеходной зоне, если ее ширина более или равно 3 м. Ширина пешеходной зоны – свободная часть тротуара, не занятая зоной размещения НТО, сервисной зоной и технической зоной.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363660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60">
        <w:rPr>
          <w:rFonts w:ascii="Times New Roman" w:hAnsi="Times New Roman" w:cs="Times New Roman"/>
          <w:b/>
          <w:sz w:val="24"/>
          <w:szCs w:val="24"/>
        </w:rPr>
        <w:t>7. Размещение НТО относительно улично-дорожной сети</w:t>
      </w:r>
    </w:p>
    <w:p w:rsidR="008C5EDC" w:rsidRPr="00363660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1. Рекомендуемое минимальное расстояние от НТО до границы пешеходного перехода – 5 м. </w:t>
      </w:r>
    </w:p>
    <w:p w:rsidR="008C5EDC" w:rsidRPr="00A8421D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2. </w:t>
      </w:r>
      <w:r w:rsidRPr="00A8421D">
        <w:rPr>
          <w:rFonts w:ascii="Times New Roman" w:hAnsi="Times New Roman" w:cs="Times New Roman"/>
          <w:sz w:val="24"/>
          <w:szCs w:val="24"/>
        </w:rPr>
        <w:t xml:space="preserve">Относительно хода движения автотранспорта НТО рекомендуется размещать после пешеходного перехода, чтобы не закрывать обзор водителю.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3. Минимальное рекомендованное расстояние от края проезжей части до НТО – 1 м.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DC" w:rsidRPr="00363660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60">
        <w:rPr>
          <w:rFonts w:ascii="Times New Roman" w:hAnsi="Times New Roman" w:cs="Times New Roman"/>
          <w:b/>
          <w:sz w:val="24"/>
          <w:szCs w:val="24"/>
        </w:rPr>
        <w:t>8. Размещение киосков и павильонов относительно элементов благоустройства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 1. Рекомендуемое минимальное расстояние от НТО до оси ствола дерева – 5 м.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2. Рекомендуемое минимальное расстояние от НТО до оси кустарника – 1,5 м.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3. Оптимальное расстояние от НТО до урн – не более 1 м.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4. Рекомендуемое минимальное расстояние от НТО до ограждений – 1 м.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5. Рекомендуемое минимальное расстояние от НТО до опор освещения и дорожных знаков – 1 м.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DC" w:rsidRPr="00D42B22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22">
        <w:rPr>
          <w:rFonts w:ascii="Times New Roman" w:hAnsi="Times New Roman" w:cs="Times New Roman"/>
          <w:b/>
          <w:sz w:val="24"/>
          <w:szCs w:val="24"/>
        </w:rPr>
        <w:t>9. Размещение НТО около остановочных павильонов</w:t>
      </w:r>
    </w:p>
    <w:p w:rsidR="008C5EDC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5EDC" w:rsidRPr="008B63FE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1. Запрещается устанавливать НТО в пределах посадочных площадок и площадок ожидания.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2443">
        <w:rPr>
          <w:rFonts w:ascii="Times New Roman" w:hAnsi="Times New Roman" w:cs="Times New Roman"/>
          <w:sz w:val="24"/>
          <w:szCs w:val="24"/>
        </w:rPr>
        <w:t xml:space="preserve">. При установке НТО в зоне остановки общественного транспорта минимальное рекомендуемое расстояние до остановочного павильона – 3 м.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2443">
        <w:rPr>
          <w:rFonts w:ascii="Times New Roman" w:hAnsi="Times New Roman" w:cs="Times New Roman"/>
          <w:sz w:val="24"/>
          <w:szCs w:val="24"/>
        </w:rPr>
        <w:t xml:space="preserve">. Недопустима ориентация входа павильона или торгового окна киоска на проход между НТО и остановочным павильоном.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22">
        <w:rPr>
          <w:rFonts w:ascii="Times New Roman" w:hAnsi="Times New Roman" w:cs="Times New Roman"/>
          <w:b/>
          <w:sz w:val="24"/>
          <w:szCs w:val="24"/>
        </w:rPr>
        <w:t>10. Оформление внешнего вида НТО</w:t>
      </w:r>
    </w:p>
    <w:p w:rsidR="008C5EDC" w:rsidRPr="00D42B22" w:rsidRDefault="008C5EDC" w:rsidP="008C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КИОСК Требования к элементам: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7620"/>
      </w:tblGrid>
      <w:tr w:rsidR="008C5EDC" w:rsidTr="005417CC">
        <w:tc>
          <w:tcPr>
            <w:tcW w:w="445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7620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7620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Вывеска киоска размещается во фризовой части торгового фронта. Длина вывески-менее 3м. Вывеска должна быть без подложки, с внутренней подцветкой, буквы размещаются в одну строку. Высота букв и логотипа -0,3 м. Вывеска выравнивается относительно центральной оси торгового фронта.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620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торгового фронта рекомендовано организовать навес шириной не менее 0,6м.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оформление</w:t>
            </w:r>
          </w:p>
        </w:tc>
        <w:tc>
          <w:tcPr>
            <w:tcW w:w="7620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конструкциях киоска допускается размещать временное оформлени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наклейку или покраску, нанесенную на стеклянное полотно, либо размещать информационную конструкцию в проемах.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7620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рекомендуется оборудовать наружным и внутренним освещением.</w:t>
            </w:r>
          </w:p>
        </w:tc>
      </w:tr>
    </w:tbl>
    <w:p w:rsidR="008C5EDC" w:rsidRDefault="008C5EDC" w:rsidP="008C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 Высота киоска должна быть не более 3,1 м.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2443">
        <w:rPr>
          <w:rFonts w:ascii="Times New Roman" w:hAnsi="Times New Roman" w:cs="Times New Roman"/>
          <w:sz w:val="24"/>
          <w:szCs w:val="24"/>
        </w:rPr>
        <w:t xml:space="preserve">кно может быть расположено в любой части торгового фронта.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1D">
        <w:rPr>
          <w:rFonts w:ascii="Times New Roman" w:hAnsi="Times New Roman" w:cs="Times New Roman"/>
          <w:sz w:val="24"/>
          <w:szCs w:val="24"/>
        </w:rPr>
        <w:t xml:space="preserve">Вход для продавца допустимо размещать на любой стороне киоска. </w:t>
      </w:r>
      <w:r w:rsidRPr="00F32443">
        <w:rPr>
          <w:rFonts w:ascii="Times New Roman" w:hAnsi="Times New Roman" w:cs="Times New Roman"/>
          <w:sz w:val="24"/>
          <w:szCs w:val="24"/>
        </w:rPr>
        <w:t xml:space="preserve">Возле киоска необходимо размещать урну.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ПАВИЛЬОН Требования к элементам: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7620"/>
      </w:tblGrid>
      <w:tr w:rsidR="008C5EDC" w:rsidTr="005417CC">
        <w:tc>
          <w:tcPr>
            <w:tcW w:w="445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7620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7620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Вывеску павильона следует размещать во фризовой части торгового фронта. Вывеску рекомендуется делать без подложки, с внутренней подсветкой, буквы размещать в одну строку. Высота букв и логотипа — 0,25 м. Вывеска выравнивается относительно центральной оси торгового фронта.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оформление</w:t>
            </w:r>
          </w:p>
        </w:tc>
        <w:tc>
          <w:tcPr>
            <w:tcW w:w="7620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конструкциях павильона допускается размещать временное оформление — наклейку или покраску, нанесенную на стеклянное полотно, либо размещение информационных конструкций в проемах.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7620" w:type="dxa"/>
            <w:vAlign w:val="center"/>
          </w:tcPr>
          <w:p w:rsidR="008C5EDC" w:rsidRPr="00F32443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Павильон рекомендуется оборудовать наружным и внутренним освещением.</w:t>
            </w:r>
          </w:p>
        </w:tc>
      </w:tr>
    </w:tbl>
    <w:p w:rsidR="008C5EDC" w:rsidRDefault="008C5EDC" w:rsidP="008C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A8421D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Высота павильона должна быть не более 3 м. </w:t>
      </w:r>
      <w:r w:rsidRPr="00A8421D">
        <w:rPr>
          <w:rFonts w:ascii="Times New Roman" w:hAnsi="Times New Roman" w:cs="Times New Roman"/>
          <w:sz w:val="24"/>
          <w:szCs w:val="24"/>
        </w:rPr>
        <w:t xml:space="preserve">Рекомендуется предусматривать на плоскости фасада фризовую часть высотой не более 0,4 м от верхней границы павильона.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Павильон рекомендуется оборудовать кнопкой вызова продавца, расположенной на низком уровне, для маломобильных групп. Следует выделять подсобные помещения для хранения товарных запасов. Возле павильона необходимо размещать урну.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ТОРГОВАЯ ПАЛАТКА Требования к элементам: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7620"/>
      </w:tblGrid>
      <w:tr w:rsidR="008C5EDC" w:rsidTr="005417CC">
        <w:tc>
          <w:tcPr>
            <w:tcW w:w="445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7620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7620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Рекомендуемая высота вывески — не более 0,3 м. Нижнюю границу вывески не рекомендуется располагать ниже 2,3 м.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7620" w:type="dxa"/>
            <w:vAlign w:val="center"/>
          </w:tcPr>
          <w:p w:rsidR="008C5EDC" w:rsidRPr="00F32443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 xml:space="preserve">Если в радиусе 5 м от торговой палатки нет освещения, рекомендуется оборудовать ее наружными светильниками. Подведение кабеля наземное. На участках с интенсивным пешеходным потоком необходимо использовать </w:t>
            </w:r>
            <w:proofErr w:type="gramStart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кабель-каналы</w:t>
            </w:r>
            <w:proofErr w:type="gramEnd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ТОРГОВАЯ ТЕЛЕЖКА Требования к элементам: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7620"/>
      </w:tblGrid>
      <w:tr w:rsidR="008C5EDC" w:rsidTr="005417CC">
        <w:tc>
          <w:tcPr>
            <w:tcW w:w="445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7620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7620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 xml:space="preserve">На тележке рекомендуется </w:t>
            </w:r>
            <w:proofErr w:type="gramStart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разместить логотип</w:t>
            </w:r>
            <w:proofErr w:type="gramEnd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или наименование продукции. Вывеска должна быть без подложки, ее необходимо размещать со стороны торгового фронта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620" w:type="dxa"/>
            <w:vAlign w:val="center"/>
          </w:tcPr>
          <w:p w:rsidR="008C5EDC" w:rsidRPr="00F32443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Тележку рекомендуется оборудовать навесом или тентом. Он должен покрывать весь периметр тележки. Допускается вынос навеса за границы корпуса тележки. Запрещено использовать пляжные зонты.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7620" w:type="dxa"/>
            <w:vAlign w:val="center"/>
          </w:tcPr>
          <w:p w:rsidR="008C5EDC" w:rsidRPr="00F32443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обеспечить освещенность для удобства продавца и покупателей. На участках с интенсивным пешеходным потоком необходимо использовать </w:t>
            </w:r>
            <w:proofErr w:type="gramStart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  <w:proofErr w:type="gramEnd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Временное оформление</w:t>
            </w:r>
          </w:p>
        </w:tc>
        <w:tc>
          <w:tcPr>
            <w:tcW w:w="7620" w:type="dxa"/>
            <w:vAlign w:val="center"/>
          </w:tcPr>
          <w:p w:rsidR="008C5EDC" w:rsidRPr="00F32443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Для сохранения эстетичности тележек не рекомендуется размещать на них, а также на навесах и тентах рекламу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5EDC" w:rsidRDefault="008C5EDC" w:rsidP="008C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 АВТОМАГАЗИН Требования к элементам: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7620"/>
      </w:tblGrid>
      <w:tr w:rsidR="008C5EDC" w:rsidTr="005417CC">
        <w:tc>
          <w:tcPr>
            <w:tcW w:w="445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7620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7620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Вывеску автомагазина следует размещать во фризовой части торгового фронта. Вывеску рекомендуется делать без подложки, с внутренней подсветкой, буквы размещать в одну строку. Высота букв и логотипа — 0,25 м. Вывеска выравнивается относительно центральной оси торгового фронта.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620" w:type="dxa"/>
            <w:vAlign w:val="center"/>
          </w:tcPr>
          <w:p w:rsidR="008C5EDC" w:rsidRPr="00F32443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Над торговым окном необходимо организовать навес или козырек.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7620" w:type="dxa"/>
            <w:vAlign w:val="center"/>
          </w:tcPr>
          <w:p w:rsidR="008C5EDC" w:rsidRPr="00F32443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Автомагазин рекомендуется оборудовать наружным и внутренним освещением.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Временное оформление</w:t>
            </w:r>
          </w:p>
        </w:tc>
        <w:tc>
          <w:tcPr>
            <w:tcW w:w="7620" w:type="dxa"/>
            <w:vAlign w:val="center"/>
          </w:tcPr>
          <w:p w:rsidR="008C5EDC" w:rsidRPr="00F32443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конструкциях автомагазина допускается размещать временное оформление — наклейку или покраску, нанесенную на стеклянное полотно, либо размещение информационных конструкций в проемах.</w:t>
            </w:r>
          </w:p>
        </w:tc>
      </w:tr>
    </w:tbl>
    <w:p w:rsidR="008C5EDC" w:rsidRDefault="008C5EDC" w:rsidP="008C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Габариты автомагазина зависят от модели. Не рекомендуется размещать на автомагазине рекламу сторонней продукции. Глубина зоны обслуживания покупателей — 3 м, ширина соответствует габаритам транспортного средства. Рекомендуемая длина автомагазина — 6,8 м, ширина — 2,3 м, высота — 2,7 м. Прилавок автомагазина рекомендуется расположить на высоте не более 1,3 м от земли.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СЕЗОННОЕ (ЛЕТНЕЕ) КАФЕ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648"/>
        <w:gridCol w:w="7478"/>
      </w:tblGrid>
      <w:tr w:rsidR="008C5EDC" w:rsidTr="005417CC">
        <w:tc>
          <w:tcPr>
            <w:tcW w:w="445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7478" w:type="dxa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оборудования</w:t>
            </w:r>
          </w:p>
        </w:tc>
        <w:tc>
          <w:tcPr>
            <w:tcW w:w="7478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При обустройстве сезонного (летнего) кафе используются такие элементы оборудования, как: летняя мебель, технологические настилы, навесы, маркизы, зонты, декоративные ограждения, осветительные приборы, элементы вертикального и контейнерного озеленения, цветочницы.</w:t>
            </w:r>
            <w:proofErr w:type="gramEnd"/>
            <w:r w:rsidRPr="00F32443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мебели могут использоваться столы, стулья, кресла, диваны и иные предметы мебели. Использование дачной, садовой и интерьерной мебели для сезонного (летнего) кафе не допускается. 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7478" w:type="dxa"/>
            <w:vAlign w:val="center"/>
          </w:tcPr>
          <w:p w:rsidR="008C5EDC" w:rsidRPr="00F32443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Если в радиусе 5 м от сезонного (летнего) кафе нет освещения, рекомендуется оборудовать его наружными светильниками.</w:t>
            </w:r>
          </w:p>
        </w:tc>
      </w:tr>
      <w:tr w:rsidR="008C5EDC" w:rsidTr="005417CC">
        <w:tc>
          <w:tcPr>
            <w:tcW w:w="445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vAlign w:val="center"/>
          </w:tcPr>
          <w:p w:rsidR="008C5EDC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Временное оформление</w:t>
            </w:r>
          </w:p>
        </w:tc>
        <w:tc>
          <w:tcPr>
            <w:tcW w:w="7478" w:type="dxa"/>
            <w:vAlign w:val="center"/>
          </w:tcPr>
          <w:p w:rsidR="008C5EDC" w:rsidRPr="00F32443" w:rsidRDefault="008C5EDC" w:rsidP="005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43">
              <w:rPr>
                <w:rFonts w:ascii="Times New Roman" w:hAnsi="Times New Roman" w:cs="Times New Roman"/>
                <w:sz w:val="24"/>
                <w:szCs w:val="24"/>
              </w:rPr>
              <w:t>На элементах сезонного (летнего) кафе не допускается размещать рекламные материалы.</w:t>
            </w:r>
          </w:p>
        </w:tc>
      </w:tr>
    </w:tbl>
    <w:p w:rsidR="008C5EDC" w:rsidRDefault="008C5EDC" w:rsidP="008C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Сезонные (летние) кафе при стационарном предприятии общественного питания могут быть организованы как на территории, примыкающей к стационарному предприятию общественного питания, так и в качестве отдельно стоящих предприятий общественного питания.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Сезонное (летнее) кафе, примыкающее к стационарному предприятию общественного питания, должно находиться на расстоянии не более пяти метров от стационарного предприятия общественного питания, при этом границы места размещения сезонного (летнего) кафе не должны нарушать права собственников и пользователей соседних помещений, зданий, строений, сооружений. Указанное расстояние измеряется по прямой линии от входной группы в здание, строение, сооружение, в котором осуществляется деятельность по оказанию услуг общественного питания предприятием общественного питания, до ближайших к такому зданию, строению, сооружению крайних элементов сезонного (летнего) кафе.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Отдельно стоящие сезонные (летние) кафе должны соответствовать требованиям, предъявляемым к временным организациям общественного питания быстрого обслуживания, установленным санитарными правилами </w:t>
      </w:r>
      <w:r w:rsidRPr="008C5EDC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организациям общественного питания, изготовлению и </w:t>
      </w:r>
      <w:proofErr w:type="spellStart"/>
      <w:r w:rsidRPr="008C5EDC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8C5EDC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 От</w:t>
      </w:r>
      <w:r w:rsidRPr="00F32443">
        <w:rPr>
          <w:rFonts w:ascii="Times New Roman" w:hAnsi="Times New Roman" w:cs="Times New Roman"/>
          <w:sz w:val="24"/>
          <w:szCs w:val="24"/>
        </w:rPr>
        <w:t xml:space="preserve">дельно стоящие сезонные (летние) кафе обеспечиваются пищевыми продуктами, приготовленными в стационарных организациях общественного питания.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Внешний вид отдельно стоящих сезонных (летних) кафе должен соответствовать требованиям, предусмотренным для киосков, павильонов или автомагазинов.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При размещении сезонного (летнего) кафе должно обеспечиваться сохранение свободной ширины прохода по тротуару по основному ходу движения пешеходов не менее 1,5 метров.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443">
        <w:rPr>
          <w:rFonts w:ascii="Times New Roman" w:hAnsi="Times New Roman" w:cs="Times New Roman"/>
          <w:sz w:val="24"/>
          <w:szCs w:val="24"/>
        </w:rPr>
        <w:t xml:space="preserve">Элементы оборудования, используемые при обустройстве примыкающих  к стационарным объектам общественного питания сезонных (летних) кафе, должны быть </w:t>
      </w:r>
      <w:r w:rsidRPr="00F32443">
        <w:rPr>
          <w:rFonts w:ascii="Times New Roman" w:hAnsi="Times New Roman" w:cs="Times New Roman"/>
          <w:sz w:val="24"/>
          <w:szCs w:val="24"/>
        </w:rPr>
        <w:lastRenderedPageBreak/>
        <w:t>выполнены в едином архитектурно-художественном решении с учетом колористического решения фасадов и стилистики здания, строения, сооружения, в котором размещено стационарное предприятие общественного питания, а также архитектурно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2443">
        <w:rPr>
          <w:rFonts w:ascii="Times New Roman" w:hAnsi="Times New Roman" w:cs="Times New Roman"/>
          <w:sz w:val="24"/>
          <w:szCs w:val="24"/>
        </w:rPr>
        <w:t xml:space="preserve">градостроительного решения окружающей застройки и особенностей благоустройства прилегающей территории. </w:t>
      </w:r>
      <w:proofErr w:type="gramEnd"/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Элементы оборудования сезонных (летних) кафе должны содержаться в технически исправном состоянии, быть очищенными от грязи и иного мусора. Не допускается наличие на элементах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443">
        <w:rPr>
          <w:rFonts w:ascii="Times New Roman" w:hAnsi="Times New Roman" w:cs="Times New Roman"/>
          <w:sz w:val="24"/>
          <w:szCs w:val="24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расположенных в одном здании, строении, сооружении, конструкции сезонных (летних) кафе должны быть выполнены в едином архитектурно-художественном решении (единые материалы конструкции, взаимосвязанное колористическое решение)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  <w:proofErr w:type="gramEnd"/>
      <w:r w:rsidRPr="00F32443">
        <w:rPr>
          <w:rFonts w:ascii="Times New Roman" w:hAnsi="Times New Roman" w:cs="Times New Roman"/>
          <w:sz w:val="24"/>
          <w:szCs w:val="24"/>
        </w:rPr>
        <w:t xml:space="preserve"> Высота зонтов не должна превышать высоту первого этажа здания, строения, сооружения, занимаемого предприятием общественного питания.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При обустройстве сезонных (летних) кафе не допускается использование шатров. Установка капитальных конструкций (фундамент, утепленные стены и т.п.) не допускается.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элементов оборудования сезонных (летних) кафе для размещения рекламы, за исключением фирменного знака, логотипа стационарного объекта общественного питания, к которому относится сезонное (летнее) кафе. </w:t>
      </w:r>
    </w:p>
    <w:p w:rsid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EDC">
        <w:rPr>
          <w:rFonts w:ascii="Times New Roman" w:hAnsi="Times New Roman" w:cs="Times New Roman"/>
          <w:b/>
          <w:sz w:val="24"/>
          <w:szCs w:val="24"/>
        </w:rPr>
        <w:t>11. Материалы и цвета для изготовления НТО.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DC">
        <w:rPr>
          <w:rFonts w:ascii="Times New Roman" w:hAnsi="Times New Roman" w:cs="Times New Roman"/>
          <w:b/>
          <w:sz w:val="24"/>
          <w:szCs w:val="24"/>
        </w:rPr>
        <w:t xml:space="preserve">Киоск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t xml:space="preserve">Металлический лист: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не комбинировать при отделке листы разных цветов;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листы с матовым покрытием;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использовать цвета для основной отделки (лимонный, белый, серо-оливковый).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t xml:space="preserve">Дополнительные детали (вывески, маркизы, прилавки) могут быть выполнены в ярких цветах.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t xml:space="preserve">Фасадные панели: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допускается предусматривать комбинацию с другими материалами: доска, HPL-панели;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использовать монохромные цвета для основной отделки (лимонный, белый, серо-оливковый).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t xml:space="preserve">Дополнительные детали (вывески, маркизы, прилавки) могут быть выполнены в ярких цветах.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t xml:space="preserve">Деревянные рейки: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использовать строганые рейки толщиной не менее 30 мм;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покрывать бесцветным защитным средством для дерева;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допускается предусматривать комбинацию с другими материалами: HPL-панели, графитная доска для нанесения надписи мелом.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DC">
        <w:rPr>
          <w:rFonts w:ascii="Times New Roman" w:hAnsi="Times New Roman" w:cs="Times New Roman"/>
          <w:b/>
          <w:sz w:val="24"/>
          <w:szCs w:val="24"/>
        </w:rPr>
        <w:t xml:space="preserve">Павильон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t xml:space="preserve">Металлический лист: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не комбинировать при отделке листы разных цветов;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листы с матовым покрытием;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использовать только частичное остекление фасада;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использовать монохромные цвета для основной отделки (лимонный, белый, серо-оливковый).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t xml:space="preserve">Дополнительные детали (вывески, маркизы, прилавки) могут быть выполнены в ярких цветах.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lastRenderedPageBreak/>
        <w:t xml:space="preserve">Фасадные панели: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допускается предусматривать комбинацию с другими материалами: доска, HPL-панели;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использовать только частичное остекление фасада;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использовать монохромные цвета для основной отделки (лимонный, белый, серо-оливковый).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t xml:space="preserve">Дополнительные детали (вывески, маркизы, прилавки) могут быть выполнены в ярких цветах.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b/>
          <w:sz w:val="24"/>
          <w:szCs w:val="24"/>
        </w:rPr>
        <w:t>Торговая палатка</w:t>
      </w:r>
      <w:r w:rsidRPr="008C5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t xml:space="preserve">Каркасно-тентовый объект: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использовать монохромные цвета для основной отделки (лимонный, белый, серо-оливковый).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DC">
        <w:rPr>
          <w:rFonts w:ascii="Times New Roman" w:hAnsi="Times New Roman" w:cs="Times New Roman"/>
          <w:b/>
          <w:sz w:val="24"/>
          <w:szCs w:val="24"/>
        </w:rPr>
        <w:t xml:space="preserve">Торговая тележка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t xml:space="preserve">Металлический лист: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не комбинировать при отделке листы разных цветов;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панели с матовым покрытием;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монохромные цвета для основной отделки.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DC">
        <w:rPr>
          <w:rFonts w:ascii="Times New Roman" w:hAnsi="Times New Roman" w:cs="Times New Roman"/>
          <w:b/>
          <w:sz w:val="24"/>
          <w:szCs w:val="24"/>
        </w:rPr>
        <w:t xml:space="preserve">Сезонное (летнее) кафе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t xml:space="preserve">Элементы оборудования сезонных (летних) кафе, примыкающих к стационарным объектам общественного питания: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сборно</w:t>
      </w:r>
      <w:r w:rsidRPr="008C5EDC">
        <w:rPr>
          <w:rFonts w:ascii="Cambria Math" w:hAnsi="Cambria Math" w:cs="Cambria Math"/>
          <w:sz w:val="24"/>
          <w:szCs w:val="24"/>
        </w:rPr>
        <w:t>‐</w:t>
      </w:r>
      <w:r w:rsidRPr="008C5EDC">
        <w:rPr>
          <w:rFonts w:ascii="Times New Roman" w:hAnsi="Times New Roman" w:cs="Times New Roman"/>
          <w:sz w:val="24"/>
          <w:szCs w:val="24"/>
        </w:rPr>
        <w:t xml:space="preserve">разборные (легковозводимые) конструкции из дерева, металла, стекла, композитных материалов;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монохромные цвета для основной отделки;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DC">
        <w:rPr>
          <w:rFonts w:ascii="Times New Roman" w:hAnsi="Times New Roman" w:cs="Times New Roman"/>
          <w:sz w:val="24"/>
          <w:szCs w:val="24"/>
        </w:rPr>
        <w:sym w:font="Symbol" w:char="F0B7"/>
      </w:r>
      <w:r w:rsidRPr="008C5EDC">
        <w:rPr>
          <w:rFonts w:ascii="Times New Roman" w:hAnsi="Times New Roman" w:cs="Times New Roman"/>
          <w:sz w:val="24"/>
          <w:szCs w:val="24"/>
        </w:rPr>
        <w:t xml:space="preserve"> дополнительные элементы могут быть выполнены в ярких цветах. Для отдельно стоящих сезонных (летних) кафе применяются материалы, предусмотренные для киосков и павильонов. </w:t>
      </w: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8C5EDC" w:rsidRDefault="008C5EDC" w:rsidP="008C5E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F32443" w:rsidRDefault="008C5EDC" w:rsidP="008C5EDC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Pr="00F324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5EDC" w:rsidRPr="00F32443" w:rsidRDefault="008C5EDC" w:rsidP="008C5EDC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3244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C5EDC" w:rsidRPr="00F32443" w:rsidRDefault="008C5EDC" w:rsidP="008C5EDC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F32443">
        <w:rPr>
          <w:rFonts w:ascii="Times New Roman" w:hAnsi="Times New Roman" w:cs="Times New Roman"/>
          <w:sz w:val="20"/>
          <w:szCs w:val="20"/>
        </w:rPr>
        <w:t>Пестяковского муниципального района</w:t>
      </w:r>
    </w:p>
    <w:p w:rsidR="008C5EDC" w:rsidRPr="00F32443" w:rsidRDefault="008C5EDC" w:rsidP="008C5EDC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32443">
        <w:rPr>
          <w:rFonts w:ascii="Times New Roman" w:hAnsi="Times New Roman" w:cs="Times New Roman"/>
          <w:sz w:val="20"/>
          <w:szCs w:val="20"/>
        </w:rPr>
        <w:t>от «_» мая 2020года №__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Пестяковского муниципального района</w:t>
      </w:r>
    </w:p>
    <w:p w:rsidR="008C5EDC" w:rsidRDefault="008C5EDC" w:rsidP="008C5EDC">
      <w:pPr>
        <w:spacing w:after="0" w:line="240" w:lineRule="auto"/>
        <w:ind w:left="424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5EDC" w:rsidRDefault="008C5EDC" w:rsidP="008C5EDC">
      <w:pPr>
        <w:spacing w:after="0" w:line="240" w:lineRule="auto"/>
        <w:ind w:left="35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от ___________________________ </w:t>
      </w:r>
    </w:p>
    <w:p w:rsidR="008C5EDC" w:rsidRDefault="008C5EDC" w:rsidP="008C5EDC">
      <w:pPr>
        <w:spacing w:after="0" w:line="240" w:lineRule="auto"/>
        <w:ind w:left="4246" w:firstLine="2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собственника НТО, расположенного па адресу:</w:t>
      </w:r>
    </w:p>
    <w:p w:rsidR="008C5EDC" w:rsidRDefault="008C5EDC" w:rsidP="008C5EDC">
      <w:pPr>
        <w:spacing w:after="0" w:line="240" w:lineRule="auto"/>
        <w:ind w:left="35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8C5EDC" w:rsidRDefault="008C5EDC" w:rsidP="008C5EDC">
      <w:pPr>
        <w:spacing w:after="0" w:line="240" w:lineRule="auto"/>
        <w:ind w:left="35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ИНН __________________________________ </w:t>
      </w:r>
    </w:p>
    <w:p w:rsidR="008C5EDC" w:rsidRDefault="008C5EDC" w:rsidP="008C5EDC">
      <w:pPr>
        <w:spacing w:after="0" w:line="240" w:lineRule="auto"/>
        <w:ind w:left="35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ОГРН _________________________________ </w:t>
      </w:r>
    </w:p>
    <w:p w:rsidR="008C5EDC" w:rsidRDefault="008C5EDC" w:rsidP="008C5EDC">
      <w:pPr>
        <w:spacing w:after="0" w:line="240" w:lineRule="auto"/>
        <w:ind w:left="35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Почтовый адрес _________________________ </w:t>
      </w:r>
    </w:p>
    <w:p w:rsidR="008C5EDC" w:rsidRDefault="008C5EDC" w:rsidP="008C5EDC">
      <w:pPr>
        <w:spacing w:after="0" w:line="240" w:lineRule="auto"/>
        <w:ind w:left="35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3244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32443">
        <w:rPr>
          <w:rFonts w:ascii="Times New Roman" w:hAnsi="Times New Roman" w:cs="Times New Roman"/>
          <w:sz w:val="24"/>
          <w:szCs w:val="24"/>
        </w:rPr>
        <w:t xml:space="preserve">: _________________________________ </w:t>
      </w:r>
    </w:p>
    <w:p w:rsidR="008C5EDC" w:rsidRDefault="008C5EDC" w:rsidP="008C5EDC">
      <w:pPr>
        <w:spacing w:after="0" w:line="240" w:lineRule="auto"/>
        <w:ind w:left="35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телефон ________________________________ </w:t>
      </w:r>
    </w:p>
    <w:p w:rsidR="008C5EDC" w:rsidRDefault="008C5EDC" w:rsidP="008C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Заявление</w:t>
      </w:r>
    </w:p>
    <w:p w:rsidR="008C5EDC" w:rsidRDefault="008C5EDC" w:rsidP="008C5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Прошу заключить договор без проведения конкурентных процедур на право размещения _________________ (вид НТО) на ранее занимаемом земельном участке площадью ______ кв. м, расположенном по адресу: _______________________________ (далее – Договор).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Обязуюсь в течение шести месяцев с момента заключения Договора привести внешний вид объекта в соответствие с требованиями Дизайн-кода </w:t>
      </w:r>
      <w:r>
        <w:rPr>
          <w:rFonts w:ascii="Times New Roman" w:hAnsi="Times New Roman" w:cs="Times New Roman"/>
          <w:sz w:val="24"/>
          <w:szCs w:val="24"/>
        </w:rPr>
        <w:t xml:space="preserve">п. Пестяки (населенных пунктов Пестяковского муниципального района) </w:t>
      </w:r>
      <w:r w:rsidRPr="00F32443">
        <w:rPr>
          <w:rFonts w:ascii="Times New Roman" w:hAnsi="Times New Roman" w:cs="Times New Roman"/>
          <w:sz w:val="24"/>
          <w:szCs w:val="24"/>
        </w:rPr>
        <w:t xml:space="preserve"> по размещению и внешнему виду НТО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Приложение: копия соглашения о расторжении договора аренды земельного участка. </w:t>
      </w: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Default="008C5EDC" w:rsidP="008C5EDC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 xml:space="preserve">Дата _____________ </w:t>
      </w:r>
    </w:p>
    <w:p w:rsidR="008C5EDC" w:rsidRDefault="008C5EDC" w:rsidP="008C5EDC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EDC" w:rsidRPr="00F32443" w:rsidRDefault="008C5EDC" w:rsidP="008C5EDC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443">
        <w:rPr>
          <w:rFonts w:ascii="Times New Roman" w:hAnsi="Times New Roman" w:cs="Times New Roman"/>
          <w:sz w:val="24"/>
          <w:szCs w:val="24"/>
        </w:rPr>
        <w:t>Подпись _____________</w:t>
      </w:r>
    </w:p>
    <w:p w:rsidR="008C5EDC" w:rsidRDefault="008C5EDC" w:rsidP="00E95D17">
      <w:pPr>
        <w:tabs>
          <w:tab w:val="left" w:pos="851"/>
        </w:tabs>
        <w:spacing w:after="0" w:line="240" w:lineRule="auto"/>
        <w:ind w:right="-5"/>
      </w:pPr>
    </w:p>
    <w:sectPr w:rsidR="008C5EDC" w:rsidSect="00E0420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DBA"/>
    <w:multiLevelType w:val="hybridMultilevel"/>
    <w:tmpl w:val="8C9A6484"/>
    <w:lvl w:ilvl="0" w:tplc="9ED6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CB"/>
    <w:rsid w:val="0002111D"/>
    <w:rsid w:val="000543B6"/>
    <w:rsid w:val="00062BF8"/>
    <w:rsid w:val="00081802"/>
    <w:rsid w:val="00085E7E"/>
    <w:rsid w:val="000933F9"/>
    <w:rsid w:val="000B06ED"/>
    <w:rsid w:val="000B35C8"/>
    <w:rsid w:val="000F1767"/>
    <w:rsid w:val="000F3DBE"/>
    <w:rsid w:val="000F7663"/>
    <w:rsid w:val="0010464D"/>
    <w:rsid w:val="001046D5"/>
    <w:rsid w:val="00104946"/>
    <w:rsid w:val="00114F57"/>
    <w:rsid w:val="00161D51"/>
    <w:rsid w:val="001754BF"/>
    <w:rsid w:val="00184D72"/>
    <w:rsid w:val="00185AEC"/>
    <w:rsid w:val="001C391D"/>
    <w:rsid w:val="0020389E"/>
    <w:rsid w:val="0023046F"/>
    <w:rsid w:val="0024289F"/>
    <w:rsid w:val="002638D3"/>
    <w:rsid w:val="002652FC"/>
    <w:rsid w:val="002857F3"/>
    <w:rsid w:val="00290348"/>
    <w:rsid w:val="002B3852"/>
    <w:rsid w:val="002D1AB3"/>
    <w:rsid w:val="003B0EC4"/>
    <w:rsid w:val="003C1BF2"/>
    <w:rsid w:val="003E75C0"/>
    <w:rsid w:val="0044236B"/>
    <w:rsid w:val="00445280"/>
    <w:rsid w:val="004522E0"/>
    <w:rsid w:val="00491D06"/>
    <w:rsid w:val="004A404F"/>
    <w:rsid w:val="004B50D4"/>
    <w:rsid w:val="004C0730"/>
    <w:rsid w:val="004C2DFB"/>
    <w:rsid w:val="004D0F1B"/>
    <w:rsid w:val="004E7351"/>
    <w:rsid w:val="00517E31"/>
    <w:rsid w:val="00532589"/>
    <w:rsid w:val="005549E2"/>
    <w:rsid w:val="0055646A"/>
    <w:rsid w:val="005712CC"/>
    <w:rsid w:val="005A2C9A"/>
    <w:rsid w:val="005E5F9F"/>
    <w:rsid w:val="00603E67"/>
    <w:rsid w:val="00614737"/>
    <w:rsid w:val="00645C02"/>
    <w:rsid w:val="0064784E"/>
    <w:rsid w:val="00660E5C"/>
    <w:rsid w:val="00666C50"/>
    <w:rsid w:val="006A69A1"/>
    <w:rsid w:val="006B2128"/>
    <w:rsid w:val="006F5782"/>
    <w:rsid w:val="007376D0"/>
    <w:rsid w:val="00755E01"/>
    <w:rsid w:val="00765DB4"/>
    <w:rsid w:val="00781CC4"/>
    <w:rsid w:val="007A7DA8"/>
    <w:rsid w:val="007B3DFD"/>
    <w:rsid w:val="007D1B69"/>
    <w:rsid w:val="007F5E06"/>
    <w:rsid w:val="007F64C6"/>
    <w:rsid w:val="00812B1C"/>
    <w:rsid w:val="00826243"/>
    <w:rsid w:val="00862851"/>
    <w:rsid w:val="00885FCB"/>
    <w:rsid w:val="008920D1"/>
    <w:rsid w:val="008A221C"/>
    <w:rsid w:val="008C5EDC"/>
    <w:rsid w:val="008F0839"/>
    <w:rsid w:val="008F54BA"/>
    <w:rsid w:val="00901565"/>
    <w:rsid w:val="0091124F"/>
    <w:rsid w:val="009524A2"/>
    <w:rsid w:val="00973882"/>
    <w:rsid w:val="009804D2"/>
    <w:rsid w:val="009A4279"/>
    <w:rsid w:val="009B7170"/>
    <w:rsid w:val="009F52EA"/>
    <w:rsid w:val="00A2645C"/>
    <w:rsid w:val="00A60848"/>
    <w:rsid w:val="00AB3DCB"/>
    <w:rsid w:val="00AB5F01"/>
    <w:rsid w:val="00AE58EA"/>
    <w:rsid w:val="00B03B80"/>
    <w:rsid w:val="00B07EF1"/>
    <w:rsid w:val="00B324FD"/>
    <w:rsid w:val="00B45F71"/>
    <w:rsid w:val="00B774E6"/>
    <w:rsid w:val="00BA006A"/>
    <w:rsid w:val="00BA7841"/>
    <w:rsid w:val="00C23F46"/>
    <w:rsid w:val="00C563CB"/>
    <w:rsid w:val="00C76F03"/>
    <w:rsid w:val="00C859AC"/>
    <w:rsid w:val="00C94258"/>
    <w:rsid w:val="00CB206F"/>
    <w:rsid w:val="00CC58A9"/>
    <w:rsid w:val="00CE6637"/>
    <w:rsid w:val="00D3534C"/>
    <w:rsid w:val="00D429CA"/>
    <w:rsid w:val="00D538C1"/>
    <w:rsid w:val="00D7767C"/>
    <w:rsid w:val="00DC5899"/>
    <w:rsid w:val="00DF772E"/>
    <w:rsid w:val="00E0420B"/>
    <w:rsid w:val="00E0610C"/>
    <w:rsid w:val="00E23D53"/>
    <w:rsid w:val="00E63F1C"/>
    <w:rsid w:val="00E83771"/>
    <w:rsid w:val="00E95D17"/>
    <w:rsid w:val="00EA1E5B"/>
    <w:rsid w:val="00EC0D69"/>
    <w:rsid w:val="00F216D1"/>
    <w:rsid w:val="00FA5852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CB"/>
  </w:style>
  <w:style w:type="paragraph" w:styleId="1">
    <w:name w:val="heading 1"/>
    <w:basedOn w:val="a"/>
    <w:next w:val="a"/>
    <w:link w:val="10"/>
    <w:qFormat/>
    <w:rsid w:val="00C563C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3CB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CB"/>
  </w:style>
  <w:style w:type="paragraph" w:styleId="1">
    <w:name w:val="heading 1"/>
    <w:basedOn w:val="a"/>
    <w:next w:val="a"/>
    <w:link w:val="10"/>
    <w:qFormat/>
    <w:rsid w:val="00C563C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3CB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16</cp:revision>
  <cp:lastPrinted>2018-08-21T07:35:00Z</cp:lastPrinted>
  <dcterms:created xsi:type="dcterms:W3CDTF">2020-05-07T07:34:00Z</dcterms:created>
  <dcterms:modified xsi:type="dcterms:W3CDTF">2020-06-04T09:10:00Z</dcterms:modified>
</cp:coreProperties>
</file>